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60"/>
        <w:jc w:val="center"/>
      </w:pPr>
      <w:r>
        <w:rPr>
          <w:rFonts w:ascii="Microsoft YaHei" w:hAnsi="Microsoft YaHei" w:eastAsia="Microsoft YaHei"/>
          <w:b/>
          <w:color w:val="193A5A"/>
          <w:sz w:val="42"/>
        </w:rPr>
        <w:t>中国医疗AI上市公司研究报告（2026）：产品布局、医院应用与商业化进程</w:t>
      </w:r>
    </w:p>
    <w:p>
      <w:pPr>
        <w:spacing w:after="100"/>
        <w:ind w:firstLine="420"/>
      </w:pPr>
      <w:r>
        <w:rPr>
          <w:rFonts w:ascii="宋体" w:hAnsi="宋体" w:eastAsia="宋体"/>
          <w:b/>
          <w:sz w:val="21"/>
        </w:rPr>
        <w:t>资料截止日期：</w:t>
      </w:r>
      <w:r>
        <w:rPr>
          <w:rFonts w:ascii="宋体" w:hAnsi="宋体" w:eastAsia="宋体"/>
          <w:sz w:val="21"/>
        </w:rPr>
        <w:t>2026年8月31日</w:t>
      </w:r>
    </w:p>
    <w:p>
      <w:pPr>
        <w:spacing w:after="100"/>
        <w:ind w:firstLine="420"/>
      </w:pPr>
      <w:r>
        <w:rPr>
          <w:rFonts w:ascii="宋体" w:hAnsi="宋体" w:eastAsia="宋体"/>
          <w:b/>
          <w:sz w:val="21"/>
        </w:rPr>
        <w:t>研究性质：</w:t>
      </w:r>
      <w:r>
        <w:rPr>
          <w:rFonts w:ascii="宋体" w:hAnsi="宋体" w:eastAsia="宋体"/>
          <w:sz w:val="21"/>
        </w:rPr>
        <w:t>公开资料行业研究稿</w:t>
      </w:r>
    </w:p>
    <w:p>
      <w:pPr>
        <w:spacing w:after="100"/>
        <w:ind w:firstLine="420"/>
      </w:pPr>
      <w:r>
        <w:rPr>
          <w:rFonts w:ascii="宋体" w:hAnsi="宋体" w:eastAsia="宋体"/>
          <w:b/>
          <w:sz w:val="21"/>
        </w:rPr>
        <w:t>声明：</w:t>
      </w:r>
      <w:r>
        <w:rPr>
          <w:rFonts w:ascii="宋体" w:hAnsi="宋体" w:eastAsia="宋体"/>
          <w:sz w:val="21"/>
        </w:rPr>
        <w:t>本文用于行业信息研究，不构成证券投资建议、投资评级、医疗建议或对产品临床效果的独立认证。</w:t>
      </w:r>
    </w:p>
    <w:p>
      <w:pPr>
        <w:pStyle w:val="Heading2"/>
        <w:pageBreakBefore w:val="0"/>
      </w:pPr>
      <w:r>
        <w:rPr>
          <w:rFonts w:ascii="Microsoft YaHei" w:hAnsi="Microsoft YaHei" w:eastAsia="Microsoft YaHei"/>
          <w:b/>
          <w:color w:val="1F4E78"/>
          <w:sz w:val="28"/>
        </w:rPr>
        <w:t>摘要</w:t>
      </w:r>
    </w:p>
    <w:p>
      <w:pPr>
        <w:spacing w:after="100"/>
        <w:ind w:firstLine="420"/>
      </w:pPr>
      <w:r>
        <w:rPr>
          <w:rFonts w:ascii="宋体" w:hAnsi="宋体" w:eastAsia="宋体"/>
          <w:sz w:val="21"/>
        </w:rPr>
        <w:t>医疗AI覆盖医疗软件、受监管算法产品、整机智能化、医学影像采集部件和区域服务等多类业务。它们进入医院的方式不同，收入确认的基础也不同。对上市公司而言，产品是否形成明确应用场景，是否完成相应准入与系统集成，是否进入稳定的医院使用流程，以及相关业务能否在财务披露中持续识别，是更具区分度的观察点。</w:t>
      </w:r>
    </w:p>
    <w:p>
      <w:pPr>
        <w:spacing w:after="100"/>
        <w:ind w:firstLine="420"/>
      </w:pPr>
      <w:r>
        <w:rPr>
          <w:rFonts w:ascii="宋体" w:hAnsi="宋体" w:eastAsia="宋体"/>
          <w:sz w:val="21"/>
        </w:rPr>
        <w:t>本报告选取卫宁健康、鹰瞳科技、科大讯飞、联影医疗、迈瑞医疗、奕瑞科技和康众医疗作为观察样本。样本覆盖医疗信息化、专用算法软件、通用AI医疗应用、医学影像整机与影像采集部件等不同入口。七家公司2025年营业收入介于1.73亿元和332.82亿元之间。收入规模与AI业务成熟度属于不同维度：部分公司披露了AI产品线或医疗分部收入，部分公司将AI作为设备和解决方案能力的一部分，还有部分公司处在由影像采集向智能影像解决方案延展的阶段。</w:t>
      </w:r>
    </w:p>
    <w:p>
      <w:pPr>
        <w:spacing w:after="100"/>
        <w:ind w:firstLine="420"/>
      </w:pPr>
      <w:r>
        <w:rPr>
          <w:rFonts w:ascii="宋体" w:hAnsi="宋体" w:eastAsia="宋体"/>
          <w:sz w:val="21"/>
        </w:rPr>
        <w:t>因此，行业比较需要回到产品、应用和商业化三项基础工作。对软件公司，应看产品收入、服务网点、调用量、续费与回款；对设备公司，应看AI功能是否进入标准产品、模块采购和服务合同；对影像采集和部件公司，应看新产品的注册、客户使用、并表后的收入毛利与现金流变化。把这几类公司置于同一名单可以帮助理解产业链，却不能替代对各自业务模型的判断。</w:t>
      </w:r>
    </w:p>
    <w:p>
      <w:pPr>
        <w:pStyle w:val="Heading2"/>
        <w:pageBreakBefore/>
      </w:pPr>
      <w:r>
        <w:rPr>
          <w:rFonts w:ascii="Microsoft YaHei" w:hAnsi="Microsoft YaHei" w:eastAsia="Microsoft YaHei"/>
          <w:b/>
          <w:color w:val="1F4E78"/>
          <w:sz w:val="28"/>
        </w:rPr>
        <w:t>研究范围与分类口径</w:t>
      </w:r>
    </w:p>
    <w:p>
      <w:pPr>
        <w:spacing w:after="100"/>
        <w:ind w:firstLine="420"/>
      </w:pPr>
      <w:r>
        <w:rPr>
          <w:rFonts w:ascii="宋体" w:hAnsi="宋体" w:eastAsia="宋体"/>
          <w:sz w:val="21"/>
        </w:rPr>
        <w:t>国家卫生健康委等部门发布的《卫生健康行业人工智能应用场景参考指引》已将医学影像智能辅助诊断、影像数据智能质控和基层全科辅助决策列入不同应用场景；《关于促进和规范“人工智能+医疗卫生”应用发展的实施意见》进一步提出基层诊疗、专科专病决策和医学影像辅助诊断等方向。政策的作用是明确需求方向，并不改变医疗产品进入医院所需经历的产品化、合规、部署、使用和服务过程。[1][2]</w:t>
      </w:r>
    </w:p>
    <w:p>
      <w:pPr>
        <w:spacing w:after="100"/>
        <w:ind w:firstLine="420"/>
      </w:pPr>
      <w:r>
        <w:rPr>
          <w:rFonts w:ascii="宋体" w:hAnsi="宋体" w:eastAsia="宋体"/>
          <w:sz w:val="21"/>
        </w:rPr>
        <w:t>从产品形态看，医疗AI上市公司可分为三类：医疗软件与算法产品通常以临床软件、辅助筛查、区域平台和智能助手进入医疗机构；设备内生智能化把成像、定位、测量、质控或报告功能嵌入整机；影像采集与系统延展则由探测器、核心部件、图像处理和智能影像解决方案逐步覆盖更多环节。对应的样本公司分别为卫宁健康、鹰瞳科技、科大讯飞；联影医疗、迈瑞医疗；奕瑞科技、康众医疗。</w:t>
      </w:r>
    </w:p>
    <w:p>
      <w:pPr>
        <w:spacing w:after="100"/>
        <w:ind w:firstLine="420"/>
      </w:pPr>
      <w:r>
        <w:rPr>
          <w:rFonts w:ascii="宋体" w:hAnsi="宋体" w:eastAsia="宋体"/>
          <w:sz w:val="21"/>
        </w:rPr>
        <w:t>三类公司的共同点是都与医疗数据、算法或智能化功能有关；差异则在于产品责任、客户决策链条和会计口径。以设备收入替代AI收入、以一次中标替代持续使用、以注册证替代收入确认，都会造成比较失真。</w:t>
      </w:r>
    </w:p>
    <w:p>
      <w:pPr>
        <w:spacing w:before="80" w:after="60"/>
        <w:jc w:val="center"/>
      </w:pPr>
      <w:r>
        <w:drawing>
          <wp:inline xmlns:a="http://schemas.openxmlformats.org/drawingml/2006/main" xmlns:pic="http://schemas.openxmlformats.org/drawingml/2006/picture">
            <wp:extent cx="5868000" cy="3302505"/>
            <wp:docPr id="1" name="Picture 1"/>
            <wp:cNvGraphicFramePr>
              <a:graphicFrameLocks noChangeAspect="1"/>
            </wp:cNvGraphicFramePr>
            <a:graphic>
              <a:graphicData uri="http://schemas.openxmlformats.org/drawingml/2006/picture">
                <pic:pic>
                  <pic:nvPicPr>
                    <pic:cNvPr id="0" name="图2_三类技术与商业化路径.png"/>
                    <pic:cNvPicPr/>
                  </pic:nvPicPr>
                  <pic:blipFill>
                    <a:blip r:embed="rId11"/>
                    <a:stretch>
                      <a:fillRect/>
                    </a:stretch>
                  </pic:blipFill>
                  <pic:spPr>
                    <a:xfrm>
                      <a:off x="0" y="0"/>
                      <a:ext cx="5868000" cy="3302505"/>
                    </a:xfrm>
                    <a:prstGeom prst="rect"/>
                  </pic:spPr>
                </pic:pic>
              </a:graphicData>
            </a:graphic>
          </wp:inline>
        </w:drawing>
      </w:r>
    </w:p>
    <w:p>
      <w:pPr>
        <w:spacing w:after="160"/>
        <w:jc w:val="center"/>
      </w:pPr>
      <w:r>
        <w:rPr>
          <w:rFonts w:ascii="宋体" w:hAnsi="宋体" w:eastAsia="宋体"/>
          <w:i/>
          <w:color w:val="5A646E"/>
          <w:sz w:val="17"/>
        </w:rPr>
        <w:t>图1：三类业务入口的技术与商业化路径。图示用于说明不同产品形态的收入识别方式，不表示企业排名、产品性能或市场份额。</w:t>
      </w:r>
    </w:p>
    <w:p>
      <w:pPr>
        <w:pStyle w:val="Heading2"/>
        <w:pageBreakBefore w:val="0"/>
      </w:pPr>
      <w:r>
        <w:rPr>
          <w:rFonts w:ascii="Microsoft YaHei" w:hAnsi="Microsoft YaHei" w:eastAsia="Microsoft YaHei"/>
          <w:b/>
          <w:color w:val="1F4E78"/>
          <w:sz w:val="28"/>
        </w:rPr>
        <w:t>政策环境与县域影像中心建设</w:t>
      </w:r>
    </w:p>
    <w:p>
      <w:pPr>
        <w:spacing w:after="100"/>
        <w:ind w:firstLine="420"/>
      </w:pPr>
      <w:r>
        <w:rPr>
          <w:rFonts w:ascii="宋体" w:hAnsi="宋体" w:eastAsia="宋体"/>
          <w:sz w:val="21"/>
        </w:rPr>
        <w:t>医疗AI的市场并不只由医院采购一套软件或一台设备构成。近两年的政策重点已经转向区域协同、县域医共体和基层能力建设，需求单元相应从单点产品扩展到影像采集、数据汇聚、远程诊断、结果互认、质量管理与持续服务。</w:t>
      </w:r>
    </w:p>
    <w:p>
      <w:pPr>
        <w:spacing w:after="100"/>
        <w:ind w:firstLine="420"/>
      </w:pPr>
      <w:r>
        <w:rPr>
          <w:rFonts w:ascii="宋体" w:hAnsi="宋体" w:eastAsia="宋体"/>
          <w:sz w:val="21"/>
        </w:rPr>
        <w:t>2025年发布的《紧密型县域医共体信息化功能指引》提出五个方面36项功能，其中区域医疗服务协同应用包含医学影像诊断、心电诊断、医学检验、病理诊断、远程会诊、消毒供应和医疗急救等七个资源共享中心。2023年《关于全面推进紧密型县域医疗卫生共同体建设的指导意见》提出，到2025年底力争全国90%以上的县基本建成紧密型县域医共体，到2027年底基本实现全覆盖。2026年3月发布、9月1日起实施的《紧密型县域医共体医学影像中心设置标准》，则把规划、建设和管理要求进一步落到影像中心的场所、设备、人员、信息化和管理环节。[20]-[22]</w:t>
      </w:r>
    </w:p>
    <w:p>
      <w:pPr>
        <w:spacing w:before="80" w:after="60"/>
        <w:jc w:val="center"/>
      </w:pPr>
      <w:r>
        <w:drawing>
          <wp:inline xmlns:a="http://schemas.openxmlformats.org/drawingml/2006/main" xmlns:pic="http://schemas.openxmlformats.org/drawingml/2006/picture">
            <wp:extent cx="5868000" cy="3302505"/>
            <wp:docPr id="2" name="Picture 2"/>
            <wp:cNvGraphicFramePr>
              <a:graphicFrameLocks noChangeAspect="1"/>
            </wp:cNvGraphicFramePr>
            <a:graphic>
              <a:graphicData uri="http://schemas.openxmlformats.org/drawingml/2006/picture">
                <pic:pic>
                  <pic:nvPicPr>
                    <pic:cNvPr id="0" name="图3_政策到县域影像中心的市场形成路径.png"/>
                    <pic:cNvPicPr/>
                  </pic:nvPicPr>
                  <pic:blipFill>
                    <a:blip r:embed="rId12"/>
                    <a:stretch>
                      <a:fillRect/>
                    </a:stretch>
                  </pic:blipFill>
                  <pic:spPr>
                    <a:xfrm>
                      <a:off x="0" y="0"/>
                      <a:ext cx="5868000" cy="3302505"/>
                    </a:xfrm>
                    <a:prstGeom prst="rect"/>
                  </pic:spPr>
                </pic:pic>
              </a:graphicData>
            </a:graphic>
          </wp:inline>
        </w:drawing>
      </w:r>
    </w:p>
    <w:p>
      <w:pPr>
        <w:spacing w:after="160"/>
        <w:jc w:val="center"/>
      </w:pPr>
      <w:r>
        <w:rPr>
          <w:rFonts w:ascii="宋体" w:hAnsi="宋体" w:eastAsia="宋体"/>
          <w:i/>
          <w:color w:val="5A646E"/>
          <w:sz w:val="17"/>
        </w:rPr>
        <w:t>图2：政策要求如何转化为县域影像中心的建设、集成与服务需求。图示概括公共建设链条，不代表单一地区的招采流程或项目规模。</w:t>
      </w:r>
    </w:p>
    <w:tbl>
      <w:tblPr>
        <w:tblStyle w:val="TableGrid"/>
        <w:tblW w:type="auto" w:w="0"/>
        <w:tblLayout w:type="fixed"/>
        <w:tblLook w:firstColumn="1" w:firstRow="1" w:lastColumn="0" w:lastRow="0" w:noHBand="0" w:noVBand="1" w:val="04A0"/>
      </w:tblPr>
      <w:tblGrid>
        <w:gridCol w:w="3400"/>
        <w:gridCol w:w="3400"/>
        <w:gridCol w:w="3400"/>
      </w:tblGrid>
      <w:tr>
        <w:trPr>
          <w:cantSplit/>
          <w:tblHeader w:val="true"/>
        </w:trPr>
        <w:tc>
          <w:tcPr>
            <w:tcW w:type="dxa" w:w="1916"/>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政策与标准</w:t>
            </w:r>
          </w:p>
        </w:tc>
        <w:tc>
          <w:tcPr>
            <w:tcW w:type="dxa" w:w="3832"/>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直接建设要求</w:t>
            </w:r>
          </w:p>
        </w:tc>
        <w:tc>
          <w:tcPr>
            <w:tcW w:type="dxa" w:w="3832"/>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对市场形成的影响</w:t>
            </w:r>
          </w:p>
        </w:tc>
      </w:tr>
      <w:tr>
        <w:trPr>
          <w:cantSplit/>
        </w:trPr>
        <w:tc>
          <w:tcPr>
            <w:tcW w:type="dxa" w:w="1916"/>
            <w:vAlign w:val="center"/>
          </w:tcPr>
          <w:p>
            <w:pPr>
              <w:spacing w:after="0" w:before="0" w:line="252" w:lineRule="auto"/>
            </w:pPr>
            <w:r/>
            <w:r>
              <w:rPr>
                <w:rFonts w:ascii="宋体" w:hAnsi="宋体" w:eastAsia="宋体"/>
                <w:sz w:val="17"/>
              </w:rPr>
              <w:t>县域医共体信息化功能指引</w:t>
            </w:r>
          </w:p>
        </w:tc>
        <w:tc>
          <w:tcPr>
            <w:tcW w:type="dxa" w:w="3832"/>
            <w:vAlign w:val="center"/>
          </w:tcPr>
          <w:p>
            <w:pPr>
              <w:spacing w:after="0" w:before="0" w:line="252" w:lineRule="auto"/>
            </w:pPr>
            <w:r/>
            <w:r>
              <w:rPr>
                <w:rFonts w:ascii="宋体" w:hAnsi="宋体" w:eastAsia="宋体"/>
                <w:sz w:val="17"/>
              </w:rPr>
              <w:t>建设区域影像诊断、远程会诊、结果互认等共享能力</w:t>
            </w:r>
          </w:p>
        </w:tc>
        <w:tc>
          <w:tcPr>
            <w:tcW w:type="dxa" w:w="3832"/>
            <w:vAlign w:val="center"/>
          </w:tcPr>
          <w:p>
            <w:pPr>
              <w:spacing w:after="0" w:before="0" w:line="252" w:lineRule="auto"/>
            </w:pPr>
            <w:r/>
            <w:r>
              <w:rPr>
                <w:rFonts w:ascii="宋体" w:hAnsi="宋体" w:eastAsia="宋体"/>
                <w:sz w:val="17"/>
              </w:rPr>
              <w:t>采购对象由单家机构的设备与软件，延伸为区域平台、接口集成与运维服务</w:t>
            </w:r>
          </w:p>
        </w:tc>
      </w:tr>
      <w:tr>
        <w:trPr>
          <w:cantSplit/>
        </w:trPr>
        <w:tc>
          <w:tcPr>
            <w:tcW w:type="dxa" w:w="1916"/>
            <w:vAlign w:val="center"/>
            <w:shd w:fill="EEF3F7"/>
          </w:tcPr>
          <w:p>
            <w:pPr>
              <w:spacing w:after="0" w:before="0" w:line="252" w:lineRule="auto"/>
            </w:pPr>
            <w:r/>
            <w:r>
              <w:rPr>
                <w:rFonts w:ascii="宋体" w:hAnsi="宋体" w:eastAsia="宋体"/>
                <w:sz w:val="17"/>
              </w:rPr>
              <w:t>“人工智能+医疗卫生”实施意见</w:t>
            </w:r>
          </w:p>
        </w:tc>
        <w:tc>
          <w:tcPr>
            <w:tcW w:type="dxa" w:w="3832"/>
            <w:vAlign w:val="center"/>
            <w:shd w:fill="EEF3F7"/>
          </w:tcPr>
          <w:p>
            <w:pPr>
              <w:spacing w:after="0" w:before="0" w:line="252" w:lineRule="auto"/>
            </w:pPr>
            <w:r/>
            <w:r>
              <w:rPr>
                <w:rFonts w:ascii="宋体" w:hAnsi="宋体" w:eastAsia="宋体"/>
                <w:sz w:val="17"/>
              </w:rPr>
              <w:t>支持省级统筹集约化开展影像辅助诊断、报告生成和影像质量评价；到2030年推动二级以上医院普遍开展医学影像智能辅助诊断</w:t>
            </w:r>
          </w:p>
        </w:tc>
        <w:tc>
          <w:tcPr>
            <w:tcW w:type="dxa" w:w="3832"/>
            <w:vAlign w:val="center"/>
            <w:shd w:fill="EEF3F7"/>
          </w:tcPr>
          <w:p>
            <w:pPr>
              <w:spacing w:after="0" w:before="0" w:line="252" w:lineRule="auto"/>
            </w:pPr>
            <w:r/>
            <w:r>
              <w:rPr>
                <w:rFonts w:ascii="宋体" w:hAnsi="宋体" w:eastAsia="宋体"/>
                <w:sz w:val="17"/>
              </w:rPr>
              <w:t>产品需要适配多层级机构和不同影像模态，能够进入既有信息系统与服务流程</w:t>
            </w:r>
          </w:p>
        </w:tc>
      </w:tr>
      <w:tr>
        <w:trPr>
          <w:cantSplit/>
        </w:trPr>
        <w:tc>
          <w:tcPr>
            <w:tcW w:type="dxa" w:w="1916"/>
            <w:vAlign w:val="center"/>
          </w:tcPr>
          <w:p>
            <w:pPr>
              <w:spacing w:after="0" w:before="0" w:line="252" w:lineRule="auto"/>
            </w:pPr>
            <w:r/>
            <w:r>
              <w:rPr>
                <w:rFonts w:ascii="宋体" w:hAnsi="宋体" w:eastAsia="宋体"/>
                <w:sz w:val="17"/>
              </w:rPr>
              <w:t>县域医共体医学影像中心设置标准</w:t>
            </w:r>
          </w:p>
        </w:tc>
        <w:tc>
          <w:tcPr>
            <w:tcW w:type="dxa" w:w="3832"/>
            <w:vAlign w:val="center"/>
          </w:tcPr>
          <w:p>
            <w:pPr>
              <w:spacing w:after="0" w:before="0" w:line="252" w:lineRule="auto"/>
            </w:pPr>
            <w:r/>
            <w:r>
              <w:rPr>
                <w:rFonts w:ascii="宋体" w:hAnsi="宋体" w:eastAsia="宋体"/>
                <w:sz w:val="17"/>
              </w:rPr>
              <w:t>对影像中心的规划、建设、设施设备、人员、信息化、安全和管理提出要求</w:t>
            </w:r>
          </w:p>
        </w:tc>
        <w:tc>
          <w:tcPr>
            <w:tcW w:type="dxa" w:w="3832"/>
            <w:vAlign w:val="center"/>
          </w:tcPr>
          <w:p>
            <w:pPr>
              <w:spacing w:after="0" w:before="0" w:line="252" w:lineRule="auto"/>
            </w:pPr>
            <w:r/>
            <w:r>
              <w:rPr>
                <w:rFonts w:ascii="宋体" w:hAnsi="宋体" w:eastAsia="宋体"/>
                <w:sz w:val="17"/>
              </w:rPr>
              <w:t>设备、数据治理、系统连接和质量管理成为同一建设任务的组成部分</w:t>
            </w:r>
          </w:p>
        </w:tc>
      </w:tr>
      <w:tr>
        <w:trPr>
          <w:cantSplit/>
        </w:trPr>
        <w:tc>
          <w:tcPr>
            <w:tcW w:type="dxa" w:w="1916"/>
            <w:vAlign w:val="center"/>
            <w:shd w:fill="EEF3F7"/>
          </w:tcPr>
          <w:p>
            <w:pPr>
              <w:spacing w:after="0" w:before="0" w:line="252" w:lineRule="auto"/>
            </w:pPr>
            <w:r/>
            <w:r>
              <w:rPr>
                <w:rFonts w:ascii="宋体" w:hAnsi="宋体" w:eastAsia="宋体"/>
                <w:sz w:val="17"/>
              </w:rPr>
              <w:t>医疗卫生强基工程</w:t>
            </w:r>
          </w:p>
        </w:tc>
        <w:tc>
          <w:tcPr>
            <w:tcW w:type="dxa" w:w="3832"/>
            <w:vAlign w:val="center"/>
            <w:shd w:fill="EEF3F7"/>
          </w:tcPr>
          <w:p>
            <w:pPr>
              <w:spacing w:after="0" w:before="0" w:line="252" w:lineRule="auto"/>
            </w:pPr>
            <w:r/>
            <w:r>
              <w:rPr>
                <w:rFonts w:ascii="宋体" w:hAnsi="宋体" w:eastAsia="宋体"/>
                <w:sz w:val="17"/>
              </w:rPr>
              <w:t>以省份或地市为单位统筹县域医共体信息化，推进检查检验结果互通，并推广影像和图形智能辅助诊断</w:t>
            </w:r>
          </w:p>
        </w:tc>
        <w:tc>
          <w:tcPr>
            <w:tcW w:type="dxa" w:w="3832"/>
            <w:vAlign w:val="center"/>
            <w:shd w:fill="EEF3F7"/>
          </w:tcPr>
          <w:p>
            <w:pPr>
              <w:spacing w:after="0" w:before="0" w:line="252" w:lineRule="auto"/>
            </w:pPr>
            <w:r/>
            <w:r>
              <w:rPr>
                <w:rFonts w:ascii="宋体" w:hAnsi="宋体" w:eastAsia="宋体"/>
                <w:sz w:val="17"/>
              </w:rPr>
              <w:t>形成以区域协同为基础的长期建设与服务需求，同时受地方财政、医保支付和项目实施节奏影响</w:t>
            </w:r>
          </w:p>
        </w:tc>
      </w:tr>
    </w:tbl>
    <w:p>
      <w:pPr>
        <w:spacing w:after="60"/>
      </w:pPr>
    </w:p>
    <w:p>
      <w:pPr>
        <w:spacing w:after="100"/>
        <w:ind w:firstLine="420"/>
      </w:pPr>
      <w:r>
        <w:rPr>
          <w:rFonts w:ascii="宋体" w:hAnsi="宋体" w:eastAsia="宋体"/>
          <w:sz w:val="21"/>
        </w:rPr>
        <w:t>*表1：政策要求与建设需求的对应关系。来源：国家卫生健康委有关政策、标准及国务院《医疗卫生强基工程实施方案》。[2][20]-[22][25]*</w:t>
      </w:r>
    </w:p>
    <w:p>
      <w:pPr>
        <w:spacing w:after="100"/>
        <w:ind w:firstLine="420"/>
      </w:pPr>
      <w:r>
        <w:rPr>
          <w:rFonts w:ascii="宋体" w:hAnsi="宋体" w:eastAsia="宋体"/>
          <w:sz w:val="21"/>
        </w:rPr>
        <w:t>国家卫生健康委公布的2024年统计公报显示，全国医疗卫生机构总数为109.36万个，其中医院3.87万家；一、二级医院和基层医疗卫生机构诊疗人次为67.6亿，占总诊疗人次的66.6%。这一医疗供给结构意味着，医学影像智能化的需求不仅来自大型医院，也来自基层检查、上级诊断、区域共享与结果互认的协同安排。[23]</w:t>
      </w:r>
    </w:p>
    <w:p>
      <w:pPr>
        <w:spacing w:after="100"/>
        <w:ind w:firstLine="420"/>
      </w:pPr>
      <w:r>
        <w:rPr>
          <w:rFonts w:ascii="宋体" w:hAnsi="宋体" w:eastAsia="宋体"/>
          <w:sz w:val="21"/>
        </w:rPr>
        <w:t>市场规模不能直接用医疗机构数量乘以单价推算。县域项目通常同时包含设备更新、信息化建设、系统接口、存储计算和后续运营，预算还会受到地方建设进度、既有系统、财政安排和采购方式影响。以福建连江县总医院县域医共体资源共享中心能力提升项目为例，公开文件披露项目概算总投资6491.37万元，其中设备采购4373.30万元、信息化建设1805.00万元；这是一个可观察的综合建设案例，不代表全国平均项目金额。[24]</w:t>
      </w:r>
    </w:p>
    <w:p>
      <w:pPr>
        <w:spacing w:after="100"/>
        <w:ind w:firstLine="420"/>
      </w:pPr>
      <w:r>
        <w:rPr>
          <w:rFonts w:ascii="宋体" w:hAnsi="宋体" w:eastAsia="宋体"/>
          <w:sz w:val="21"/>
        </w:rPr>
        <w:t>现有公开资料尚无同时覆盖设备、软件、数据服务和运维收入的全国统一市场统计。行业比较宜按需求类型展开：设备更新和影像采集对应硬件与部件，区域平台、接口和数据治理对应信息化与集成服务，辅助诊断、质量控制和报告生成对应软件产品与持续服务。政策形成的是对产品组合、交付能力、渠道覆盖和区域协同能力的持续要求，不直接构成可确认收入。</w:t>
      </w:r>
    </w:p>
    <w:p>
      <w:pPr>
        <w:pStyle w:val="Heading2"/>
        <w:pageBreakBefore w:val="0"/>
      </w:pPr>
      <w:r>
        <w:rPr>
          <w:rFonts w:ascii="Microsoft YaHei" w:hAnsi="Microsoft YaHei" w:eastAsia="Microsoft YaHei"/>
          <w:b/>
          <w:color w:val="1F4E78"/>
          <w:sz w:val="28"/>
        </w:rPr>
        <w:t>产品布局与技术路径</w:t>
      </w:r>
    </w:p>
    <w:p>
      <w:pPr>
        <w:spacing w:after="100"/>
        <w:ind w:firstLine="420"/>
      </w:pPr>
      <w:r>
        <w:rPr>
          <w:rFonts w:ascii="宋体" w:hAnsi="宋体" w:eastAsia="宋体"/>
          <w:sz w:val="21"/>
        </w:rPr>
        <w:t>医疗AI从研究模型走向可销售产品，通常需要明确预期用途、数据范围、软件功能、性能评价和网络安全要求。国家药监局医疗器械技术审评中心已发布人工智能医疗器械、医疗器械软件和网络安全注册审查指导原则。国际医疗器械监管机构论坛（IMDRF）对软件作为医疗器械的临床评价也提出了相应要求。[3]-[6]</w:t>
      </w:r>
    </w:p>
    <w:p>
      <w:pPr>
        <w:spacing w:after="100"/>
        <w:ind w:firstLine="420"/>
      </w:pPr>
      <w:r>
        <w:rPr>
          <w:rFonts w:ascii="宋体" w:hAnsi="宋体" w:eastAsia="宋体"/>
          <w:sz w:val="21"/>
        </w:rPr>
        <w:t>在算法产品方向，鹰瞳科技2025年报披露，视网膜检测AI产品线收入为1.208亿元，近视防控AI产品线收入为0.439亿元；Airdoc-AIFUNDUS 2.0于2025年4月取得第三类医疗器械注册证。科大讯飞披露2025年智慧医疗收入8.58亿元，其“智医助理”覆盖806个区县、超过7.7万个基层医疗机构。卫宁健康则将医疗大模型和智能助手嵌入医疗信息化产品，其收入仍主要按软件与技术服务等口径披露。[10]-[12]</w:t>
      </w:r>
    </w:p>
    <w:p>
      <w:pPr>
        <w:spacing w:after="100"/>
        <w:ind w:firstLine="420"/>
      </w:pPr>
      <w:r>
        <w:rPr>
          <w:rFonts w:ascii="宋体" w:hAnsi="宋体" w:eastAsia="宋体"/>
          <w:sz w:val="21"/>
        </w:rPr>
        <w:t>在设备智能化方向，联影医疗将AI功能纳入MR、CT、XR、超声和放疗等产品，2025年设备收入为113.90亿元、服务收入为17.08亿元；迈瑞医疗提出“设备+IT+AI”的数智医疗系统，年报披露瑞智联M-Connect累计签单项目超过880个、医学影像收入57.17亿元。两家年报均未单列AI收入，研究时宜观察智能化能力对设备配置、服务收入和客户黏性的带动情况，并将整机收入与可单列的AI业务区分开来。[13][14]</w:t>
      </w:r>
    </w:p>
    <w:p>
      <w:pPr>
        <w:spacing w:after="100"/>
        <w:ind w:firstLine="420"/>
      </w:pPr>
      <w:r>
        <w:rPr>
          <w:rFonts w:ascii="宋体" w:hAnsi="宋体" w:eastAsia="宋体"/>
          <w:sz w:val="21"/>
        </w:rPr>
        <w:t>在影像采集与系统延展方向，奕瑞科技仍以数字化X线探测器和X射线核心部件为主要业务基础，2025年探测器收入17.15亿元；年报同时披露其围绕嵌入式图像处理和综合解决方案持续拓展。康众医疗的既有业务同样以数字化X射线平板探测器为基础。2026年6月30日，公司取得脉得智能控制权并将其纳入合并范围；康众医疗2026年半年报明确说明，受并表时点影响，上半年经营成果影响较小。脉得智能ITS-200为甲状腺结节超声影像辅助诊断软件，技术审评报告明确其不能替代病理检查，也不能单独用于临床决策。[15]-[17]</w:t>
      </w:r>
    </w:p>
    <w:p>
      <w:pPr>
        <w:spacing w:after="100"/>
        <w:ind w:firstLine="420"/>
      </w:pPr>
      <w:r>
        <w:rPr>
          <w:rFonts w:ascii="宋体" w:hAnsi="宋体" w:eastAsia="宋体"/>
          <w:sz w:val="21"/>
        </w:rPr>
        <w:t>康众医疗原有业务的量化结构，为观察这一路径提供了一个具体样本。2025年，公司主营业务中境外收入为1.38亿元，同比增长23.80%，占主营业务地区收入44.98%；工业及安检收入1.00亿元，同比增长52.49%。同期医疗收入2.07亿元，同比下降7.35%，境内收入同比下降4.88%。对以探测器和成像部件为基础的企业而言，这样的结构意味着新产品不必完全依赖单一地区、单一医疗采购周期来寻找商业入口：已有的境外业务和工业安检业务，能够支撑产品迭代、制造交付和渠道维护，并为智能影像产品的后续市场拓展保留更大的业务组合空间。[16]</w:t>
      </w:r>
    </w:p>
    <w:p>
      <w:pPr>
        <w:spacing w:before="80" w:after="60"/>
        <w:jc w:val="center"/>
      </w:pPr>
      <w:r>
        <w:drawing>
          <wp:inline xmlns:a="http://schemas.openxmlformats.org/drawingml/2006/main" xmlns:pic="http://schemas.openxmlformats.org/drawingml/2006/picture">
            <wp:extent cx="5868000" cy="3423000"/>
            <wp:docPr id="3" name="Picture 3"/>
            <wp:cNvGraphicFramePr>
              <a:graphicFrameLocks noChangeAspect="1"/>
            </wp:cNvGraphicFramePr>
            <a:graphic>
              <a:graphicData uri="http://schemas.openxmlformats.org/drawingml/2006/picture">
                <pic:pic>
                  <pic:nvPicPr>
                    <pic:cNvPr id="0" name="图4_上市影像企业境外收入占比_2025.png"/>
                    <pic:cNvPicPr/>
                  </pic:nvPicPr>
                  <pic:blipFill>
                    <a:blip r:embed="rId13"/>
                    <a:stretch>
                      <a:fillRect/>
                    </a:stretch>
                  </pic:blipFill>
                  <pic:spPr>
                    <a:xfrm>
                      <a:off x="0" y="0"/>
                      <a:ext cx="5868000" cy="3423000"/>
                    </a:xfrm>
                    <a:prstGeom prst="rect"/>
                  </pic:spPr>
                </pic:pic>
              </a:graphicData>
            </a:graphic>
          </wp:inline>
        </w:drawing>
      </w:r>
    </w:p>
    <w:p>
      <w:pPr>
        <w:spacing w:after="160"/>
        <w:jc w:val="center"/>
      </w:pPr>
      <w:r>
        <w:rPr>
          <w:rFonts w:ascii="宋体" w:hAnsi="宋体" w:eastAsia="宋体"/>
          <w:i/>
          <w:color w:val="5A646E"/>
          <w:sz w:val="17"/>
        </w:rPr>
        <w:t>图3：五家境内上市影像设备或核心部件企业的境外收入结构对比。康众、奕瑞、万东、联影按主营业务地区收入计算，迈瑞按年报披露的合并口径列示。该指标反映收入地域结构，不代表海外市场份额。[13]-[16][26]</w:t>
      </w:r>
    </w:p>
    <w:p>
      <w:pPr>
        <w:spacing w:after="100"/>
        <w:ind w:firstLine="420"/>
      </w:pPr>
      <w:r>
        <w:rPr>
          <w:rFonts w:ascii="宋体" w:hAnsi="宋体" w:eastAsia="宋体"/>
          <w:sz w:val="21"/>
        </w:rPr>
        <w:t>五家样本的境外收入占比介于25.79%和约53%之间，康众医疗为44.98%。这类比较提供的是企业收入地域结构的横截面，而非海外市场份额。对以成像采集和客户交付为起点的康众医疗而言，境外收入占比和工业安检业务增长使原有业务不完全依赖单一地区或单一医疗采购周期。现有年报尚未将境外收入拆分为智能影像或超声AI相关收入，海外协同仍应以新产品的注册、销售和客户使用披露为准；从既有业务看，海外和工业端已经构成后续产品进入市场时可以依托的销售与服务网络。[16]</w:t>
      </w:r>
    </w:p>
    <w:p>
      <w:pPr>
        <w:spacing w:after="100"/>
        <w:ind w:firstLine="420"/>
      </w:pPr>
      <w:r>
        <w:rPr>
          <w:rFonts w:ascii="宋体" w:hAnsi="宋体" w:eastAsia="宋体"/>
          <w:sz w:val="21"/>
        </w:rPr>
        <w:t>同一五家样本在2025年末的资产负债率介于12.73%和47.98%之间，康众医疗为最低。结合境外收入结构，这一财务指标说明公司在收购前具有较低的杠杆起点，能够以现金收购和并购融资推进产品边界延展。公司年报援引IHS Markit 2018年统计所披露的“全球第九、国内企业第二”，则提供了这一探测器业务基础的历史行业坐标；该位次仅适用于2018年医疗及宠物医疗数字化X射线平板探测器市场，不能替代当前市场排名。[16]</w:t>
      </w:r>
    </w:p>
    <w:p>
      <w:pPr>
        <w:spacing w:before="80" w:after="60"/>
        <w:jc w:val="center"/>
      </w:pPr>
      <w:r>
        <w:drawing>
          <wp:inline xmlns:a="http://schemas.openxmlformats.org/drawingml/2006/main" xmlns:pic="http://schemas.openxmlformats.org/drawingml/2006/picture">
            <wp:extent cx="5868000" cy="3852183"/>
            <wp:docPr id="4" name="Picture 4"/>
            <wp:cNvGraphicFramePr>
              <a:graphicFrameLocks noChangeAspect="1"/>
            </wp:cNvGraphicFramePr>
            <a:graphic>
              <a:graphicData uri="http://schemas.openxmlformats.org/drawingml/2006/picture">
                <pic:pic>
                  <pic:nvPicPr>
                    <pic:cNvPr id="0" name="图7_五家上市影像企业资产负债率_2025.png"/>
                    <pic:cNvPicPr/>
                  </pic:nvPicPr>
                  <pic:blipFill>
                    <a:blip r:embed="rId14"/>
                    <a:stretch>
                      <a:fillRect/>
                    </a:stretch>
                  </pic:blipFill>
                  <pic:spPr>
                    <a:xfrm>
                      <a:off x="0" y="0"/>
                      <a:ext cx="5868000" cy="3852183"/>
                    </a:xfrm>
                    <a:prstGeom prst="rect"/>
                  </pic:spPr>
                </pic:pic>
              </a:graphicData>
            </a:graphic>
          </wp:inline>
        </w:drawing>
      </w:r>
    </w:p>
    <w:p>
      <w:pPr>
        <w:spacing w:after="160"/>
        <w:jc w:val="center"/>
      </w:pPr>
      <w:r>
        <w:rPr>
          <w:rFonts w:ascii="宋体" w:hAnsi="宋体" w:eastAsia="宋体"/>
          <w:i/>
          <w:color w:val="5A646E"/>
          <w:sz w:val="17"/>
        </w:rPr>
        <w:t>图4：五家样本公司2025年末资产负债率对比，按负债合计除以资产总额计算。康众医疗的12.73%为收购脉得智能前的年末合并口径；该图不代表2026年并表后的资本结构。[13]-[16][26]</w:t>
      </w:r>
    </w:p>
    <w:p>
      <w:pPr>
        <w:spacing w:after="100"/>
        <w:ind w:firstLine="420"/>
      </w:pPr>
      <w:r>
        <w:rPr>
          <w:rFonts w:ascii="宋体" w:hAnsi="宋体" w:eastAsia="宋体"/>
          <w:sz w:val="21"/>
        </w:rPr>
        <w:t>资本结构的变化同样需要与业务转型放在一起看。康众医疗2025年末资产负债率为12.73%，为其采用现金收购和并购融资的方式延展产品边界提供了财务起点。收购完成后，截至2026年6月30日，公司合并资产负债率升至39.06%；货币资金为2.70亿元，短期借款、长期借款和一年内到期的非流动负债合计3.59亿元，商誉和无形资产合计4.46亿元。由此，原有的低杠杆不应被理解为转型已经没有成本；更合适的理解是，公司以原有的资本结构取得了加快产品布局的条件，而并表后的经营贡献、借款安排与商誉、无形资产的后续变化，将共同反映这一安排的实际效果。[17]</w:t>
      </w:r>
    </w:p>
    <w:p>
      <w:pPr>
        <w:spacing w:before="80" w:after="60"/>
        <w:jc w:val="center"/>
      </w:pPr>
      <w:r>
        <w:drawing>
          <wp:inline xmlns:a="http://schemas.openxmlformats.org/drawingml/2006/main" xmlns:pic="http://schemas.openxmlformats.org/drawingml/2006/picture">
            <wp:extent cx="5868000" cy="3302505"/>
            <wp:docPr id="5" name="Picture 5"/>
            <wp:cNvGraphicFramePr>
              <a:graphicFrameLocks noChangeAspect="1"/>
            </wp:cNvGraphicFramePr>
            <a:graphic>
              <a:graphicData uri="http://schemas.openxmlformats.org/drawingml/2006/picture">
                <pic:pic>
                  <pic:nvPicPr>
                    <pic:cNvPr id="0" name="图1_医学影像AI技术路线图.png"/>
                    <pic:cNvPicPr/>
                  </pic:nvPicPr>
                  <pic:blipFill>
                    <a:blip r:embed="rId15"/>
                    <a:stretch>
                      <a:fillRect/>
                    </a:stretch>
                  </pic:blipFill>
                  <pic:spPr>
                    <a:xfrm>
                      <a:off x="0" y="0"/>
                      <a:ext cx="5868000" cy="3302505"/>
                    </a:xfrm>
                    <a:prstGeom prst="rect"/>
                  </pic:spPr>
                </pic:pic>
              </a:graphicData>
            </a:graphic>
          </wp:inline>
        </w:drawing>
      </w:r>
    </w:p>
    <w:p>
      <w:pPr>
        <w:spacing w:after="160"/>
        <w:jc w:val="center"/>
      </w:pPr>
      <w:r>
        <w:rPr>
          <w:rFonts w:ascii="宋体" w:hAnsi="宋体" w:eastAsia="宋体"/>
          <w:i/>
          <w:color w:val="5A646E"/>
          <w:sz w:val="17"/>
        </w:rPr>
        <w:t>图5：医学影像AI涵盖影像采集、质量控制、算法处理、院内连接、临床辅助与持续服务等技术环节。不同产品可能只覆盖其中部分环节；图示不代表任何单一企业的完整能力。</w:t>
      </w:r>
    </w:p>
    <w:p>
      <w:pPr>
        <w:spacing w:after="100"/>
        <w:ind w:firstLine="420"/>
      </w:pPr>
      <w:r>
        <w:rPr>
          <w:rFonts w:ascii="宋体" w:hAnsi="宋体" w:eastAsia="宋体"/>
          <w:sz w:val="21"/>
        </w:rPr>
        <w:t>医学影像AI的产品价值涉及模型性能、外部验证、跨机构泛化、真实临床场景、错误处置和持续监测。上述要素在上市公司层面对应产品准入、实施成本、医院信息系统连接、医生接受度和服务交付效率。[7]-[9]</w:t>
      </w:r>
    </w:p>
    <w:p>
      <w:pPr>
        <w:spacing w:after="100"/>
        <w:ind w:firstLine="420"/>
      </w:pPr>
      <w:r>
        <w:rPr>
          <w:rFonts w:ascii="宋体" w:hAnsi="宋体" w:eastAsia="宋体"/>
          <w:sz w:val="21"/>
        </w:rPr>
        <w:t>从技术环节看，影像采集决定原始数据的质量和可用范围。X射线、CT、超声等模态在设备参数、图像格式、检查流程和操作者差异上并不相同；采集端的探测器、成像链、图像处理和质量控制，影响后续算法可以处理的数据条件。对于从部件和采集端起步的公司，产品升级的价值首先表现为成像质量、设备适配和稳定交付，是否进一步形成软件和服务收入，则取决于后续产品组合与客户使用。</w:t>
      </w:r>
    </w:p>
    <w:p>
      <w:pPr>
        <w:spacing w:after="100"/>
        <w:ind w:firstLine="420"/>
      </w:pPr>
      <w:r>
        <w:rPr>
          <w:rFonts w:ascii="宋体" w:hAnsi="宋体" w:eastAsia="宋体"/>
          <w:sz w:val="21"/>
        </w:rPr>
        <w:t>算法处理通常涉及图像重建、质量判定、病灶检出、分割、定量分析或辅助提示。不同功能对应不同的预期用途和临床责任，不能简单归并为同一类“诊断AI”。以甲状腺结节超声影像辅助诊断软件为例，ITS-200用于对医生手工勾画的特定结节给出疑似恶性提示，其产品定位与可替代病理判断的临床工具并不相同。[17]</w:t>
      </w:r>
    </w:p>
    <w:p>
      <w:pPr>
        <w:spacing w:after="100"/>
        <w:ind w:firstLine="420"/>
      </w:pPr>
      <w:r>
        <w:rPr>
          <w:rFonts w:ascii="宋体" w:hAnsi="宋体" w:eastAsia="宋体"/>
          <w:sz w:val="21"/>
        </w:rPr>
        <w:t>院内连接是医疗AI规模应用中常被低估的一环。影像产品通常要与DICOM、PACS、RIS、HIS等系统协同，处理图像调阅、身份关联、结果回写、权限管理和版本维护。IHE发布的医学影像AI工作流资料将AI结果与影像信息系统的衔接作为专门场景。对设备、软件和部件企业而言，能否把智能功能纳入现有流程，往往比单独展示算法功能更接近商业化能力。[19]</w:t>
      </w:r>
    </w:p>
    <w:p>
      <w:pPr>
        <w:pStyle w:val="Heading2"/>
        <w:pageBreakBefore w:val="0"/>
      </w:pPr>
      <w:r>
        <w:rPr>
          <w:rFonts w:ascii="Microsoft YaHei" w:hAnsi="Microsoft YaHei" w:eastAsia="Microsoft YaHei"/>
          <w:b/>
          <w:color w:val="1F4E78"/>
          <w:sz w:val="28"/>
        </w:rPr>
        <w:t>医院应用与工作流接入</w:t>
      </w:r>
    </w:p>
    <w:p>
      <w:pPr>
        <w:spacing w:after="100"/>
        <w:ind w:firstLine="420"/>
      </w:pPr>
      <w:r>
        <w:rPr>
          <w:rFonts w:ascii="宋体" w:hAnsi="宋体" w:eastAsia="宋体"/>
          <w:sz w:val="21"/>
        </w:rPr>
        <w:t>医疗AI的市场应用可大致分为筛查与健康管理、辅助诊断与质控、院内信息系统协同、设备端智能成像和区域医疗服务。不同场景的采购主体、支付方式和验收逻辑不尽相同。</w:t>
      </w:r>
    </w:p>
    <w:tbl>
      <w:tblPr>
        <w:tblStyle w:val="TableGrid"/>
        <w:tblW w:type="auto" w:w="0"/>
        <w:tblLayout w:type="fixed"/>
        <w:tblLook w:firstColumn="1" w:firstRow="1" w:lastColumn="0" w:lastRow="0" w:noHBand="0" w:noVBand="1" w:val="04A0"/>
      </w:tblPr>
      <w:tblGrid>
        <w:gridCol w:w="2550"/>
        <w:gridCol w:w="2550"/>
        <w:gridCol w:w="2550"/>
        <w:gridCol w:w="2550"/>
      </w:tblGrid>
      <w:tr>
        <w:trPr>
          <w:cantSplit/>
          <w:tblHeader w:val="true"/>
        </w:trPr>
        <w:tc>
          <w:tcPr>
            <w:tcW w:type="dxa" w:w="1136"/>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应用场景</w:t>
            </w:r>
          </w:p>
        </w:tc>
        <w:tc>
          <w:tcPr>
            <w:tcW w:type="dxa" w:w="2435"/>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产品进入方式</w:t>
            </w:r>
          </w:p>
        </w:tc>
        <w:tc>
          <w:tcPr>
            <w:tcW w:type="dxa" w:w="3410"/>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医院或客户通常关注的事项</w:t>
            </w:r>
          </w:p>
        </w:tc>
        <w:tc>
          <w:tcPr>
            <w:tcW w:type="dxa" w:w="2598"/>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不宜混同的状态</w:t>
            </w:r>
          </w:p>
        </w:tc>
      </w:tr>
      <w:tr>
        <w:trPr>
          <w:cantSplit/>
        </w:trPr>
        <w:tc>
          <w:tcPr>
            <w:tcW w:type="dxa" w:w="1136"/>
            <w:vAlign w:val="center"/>
          </w:tcPr>
          <w:p>
            <w:pPr>
              <w:spacing w:after="0" w:before="0" w:line="252" w:lineRule="auto"/>
            </w:pPr>
            <w:r/>
            <w:r>
              <w:rPr>
                <w:rFonts w:ascii="宋体" w:hAnsi="宋体" w:eastAsia="宋体"/>
                <w:sz w:val="17"/>
              </w:rPr>
              <w:t>筛查与健康管理</w:t>
            </w:r>
          </w:p>
        </w:tc>
        <w:tc>
          <w:tcPr>
            <w:tcW w:type="dxa" w:w="2435"/>
            <w:vAlign w:val="center"/>
          </w:tcPr>
          <w:p>
            <w:pPr>
              <w:spacing w:after="0" w:before="0" w:line="252" w:lineRule="auto"/>
            </w:pPr>
            <w:r/>
            <w:r>
              <w:rPr>
                <w:rFonts w:ascii="宋体" w:hAnsi="宋体" w:eastAsia="宋体"/>
                <w:sz w:val="17"/>
              </w:rPr>
              <w:t>软件即服务、按次调用、硬件配套</w:t>
            </w:r>
          </w:p>
        </w:tc>
        <w:tc>
          <w:tcPr>
            <w:tcW w:type="dxa" w:w="3410"/>
            <w:vAlign w:val="center"/>
          </w:tcPr>
          <w:p>
            <w:pPr>
              <w:spacing w:after="0" w:before="0" w:line="252" w:lineRule="auto"/>
            </w:pPr>
            <w:r/>
            <w:r>
              <w:rPr>
                <w:rFonts w:ascii="宋体" w:hAnsi="宋体" w:eastAsia="宋体"/>
                <w:sz w:val="17"/>
              </w:rPr>
              <w:t>服务网点、调用量、复购、数据治理</w:t>
            </w:r>
          </w:p>
        </w:tc>
        <w:tc>
          <w:tcPr>
            <w:tcW w:type="dxa" w:w="2598"/>
            <w:vAlign w:val="center"/>
          </w:tcPr>
          <w:p>
            <w:pPr>
              <w:spacing w:after="0" w:before="0" w:line="252" w:lineRule="auto"/>
            </w:pPr>
            <w:r/>
            <w:r>
              <w:rPr>
                <w:rFonts w:ascii="宋体" w:hAnsi="宋体" w:eastAsia="宋体"/>
                <w:sz w:val="17"/>
              </w:rPr>
              <w:t>注册、部署、调用与收入</w:t>
            </w:r>
          </w:p>
        </w:tc>
      </w:tr>
      <w:tr>
        <w:trPr>
          <w:cantSplit/>
        </w:trPr>
        <w:tc>
          <w:tcPr>
            <w:tcW w:type="dxa" w:w="1136"/>
            <w:vAlign w:val="center"/>
            <w:shd w:fill="EEF3F7"/>
          </w:tcPr>
          <w:p>
            <w:pPr>
              <w:spacing w:after="0" w:before="0" w:line="252" w:lineRule="auto"/>
            </w:pPr>
            <w:r/>
            <w:r>
              <w:rPr>
                <w:rFonts w:ascii="宋体" w:hAnsi="宋体" w:eastAsia="宋体"/>
                <w:sz w:val="17"/>
              </w:rPr>
              <w:t>辅助诊断与质控</w:t>
            </w:r>
          </w:p>
        </w:tc>
        <w:tc>
          <w:tcPr>
            <w:tcW w:type="dxa" w:w="2435"/>
            <w:vAlign w:val="center"/>
            <w:shd w:fill="EEF3F7"/>
          </w:tcPr>
          <w:p>
            <w:pPr>
              <w:spacing w:after="0" w:before="0" w:line="252" w:lineRule="auto"/>
            </w:pPr>
            <w:r/>
            <w:r>
              <w:rPr>
                <w:rFonts w:ascii="宋体" w:hAnsi="宋体" w:eastAsia="宋体"/>
                <w:sz w:val="17"/>
              </w:rPr>
              <w:t>独立软件、设备模块、院内集成</w:t>
            </w:r>
          </w:p>
        </w:tc>
        <w:tc>
          <w:tcPr>
            <w:tcW w:type="dxa" w:w="3410"/>
            <w:vAlign w:val="center"/>
            <w:shd w:fill="EEF3F7"/>
          </w:tcPr>
          <w:p>
            <w:pPr>
              <w:spacing w:after="0" w:before="0" w:line="252" w:lineRule="auto"/>
            </w:pPr>
            <w:r/>
            <w:r>
              <w:rPr>
                <w:rFonts w:ascii="宋体" w:hAnsi="宋体" w:eastAsia="宋体"/>
                <w:sz w:val="17"/>
              </w:rPr>
              <w:t>预期用途、影像质量、医生使用流程、系统接口</w:t>
            </w:r>
          </w:p>
        </w:tc>
        <w:tc>
          <w:tcPr>
            <w:tcW w:type="dxa" w:w="2598"/>
            <w:vAlign w:val="center"/>
            <w:shd w:fill="EEF3F7"/>
          </w:tcPr>
          <w:p>
            <w:pPr>
              <w:spacing w:after="0" w:before="0" w:line="252" w:lineRule="auto"/>
            </w:pPr>
            <w:r/>
            <w:r>
              <w:rPr>
                <w:rFonts w:ascii="宋体" w:hAnsi="宋体" w:eastAsia="宋体"/>
                <w:sz w:val="17"/>
              </w:rPr>
              <w:t>获证、试用、采购、验收与临床使用</w:t>
            </w:r>
          </w:p>
        </w:tc>
      </w:tr>
      <w:tr>
        <w:trPr>
          <w:cantSplit/>
        </w:trPr>
        <w:tc>
          <w:tcPr>
            <w:tcW w:type="dxa" w:w="1136"/>
            <w:vAlign w:val="center"/>
          </w:tcPr>
          <w:p>
            <w:pPr>
              <w:spacing w:after="0" w:before="0" w:line="252" w:lineRule="auto"/>
            </w:pPr>
            <w:r/>
            <w:r>
              <w:rPr>
                <w:rFonts w:ascii="宋体" w:hAnsi="宋体" w:eastAsia="宋体"/>
                <w:sz w:val="17"/>
              </w:rPr>
              <w:t>设备端智能成像</w:t>
            </w:r>
          </w:p>
        </w:tc>
        <w:tc>
          <w:tcPr>
            <w:tcW w:type="dxa" w:w="2435"/>
            <w:vAlign w:val="center"/>
          </w:tcPr>
          <w:p>
            <w:pPr>
              <w:spacing w:after="0" w:before="0" w:line="252" w:lineRule="auto"/>
            </w:pPr>
            <w:r/>
            <w:r>
              <w:rPr>
                <w:rFonts w:ascii="宋体" w:hAnsi="宋体" w:eastAsia="宋体"/>
                <w:sz w:val="17"/>
              </w:rPr>
              <w:t>标准配置或选配模块</w:t>
            </w:r>
          </w:p>
        </w:tc>
        <w:tc>
          <w:tcPr>
            <w:tcW w:type="dxa" w:w="3410"/>
            <w:vAlign w:val="center"/>
          </w:tcPr>
          <w:p>
            <w:pPr>
              <w:spacing w:after="0" w:before="0" w:line="252" w:lineRule="auto"/>
            </w:pPr>
            <w:r/>
            <w:r>
              <w:rPr>
                <w:rFonts w:ascii="宋体" w:hAnsi="宋体" w:eastAsia="宋体"/>
                <w:sz w:val="17"/>
              </w:rPr>
              <w:t>成像效率、操作流程、维护服务、升级需求</w:t>
            </w:r>
          </w:p>
        </w:tc>
        <w:tc>
          <w:tcPr>
            <w:tcW w:type="dxa" w:w="2598"/>
            <w:vAlign w:val="center"/>
          </w:tcPr>
          <w:p>
            <w:pPr>
              <w:spacing w:after="0" w:before="0" w:line="252" w:lineRule="auto"/>
            </w:pPr>
            <w:r/>
            <w:r>
              <w:rPr>
                <w:rFonts w:ascii="宋体" w:hAnsi="宋体" w:eastAsia="宋体"/>
                <w:sz w:val="17"/>
              </w:rPr>
              <w:t>设备销售、软件模块收入与服务收入</w:t>
            </w:r>
          </w:p>
        </w:tc>
      </w:tr>
      <w:tr>
        <w:trPr>
          <w:cantSplit/>
        </w:trPr>
        <w:tc>
          <w:tcPr>
            <w:tcW w:type="dxa" w:w="1136"/>
            <w:vAlign w:val="center"/>
            <w:shd w:fill="EEF3F7"/>
          </w:tcPr>
          <w:p>
            <w:pPr>
              <w:spacing w:after="0" w:before="0" w:line="252" w:lineRule="auto"/>
            </w:pPr>
            <w:r/>
            <w:r>
              <w:rPr>
                <w:rFonts w:ascii="宋体" w:hAnsi="宋体" w:eastAsia="宋体"/>
                <w:sz w:val="17"/>
              </w:rPr>
              <w:t>区域与基层医疗</w:t>
            </w:r>
          </w:p>
        </w:tc>
        <w:tc>
          <w:tcPr>
            <w:tcW w:type="dxa" w:w="2435"/>
            <w:vAlign w:val="center"/>
            <w:shd w:fill="EEF3F7"/>
          </w:tcPr>
          <w:p>
            <w:pPr>
              <w:spacing w:after="0" w:before="0" w:line="252" w:lineRule="auto"/>
            </w:pPr>
            <w:r/>
            <w:r>
              <w:rPr>
                <w:rFonts w:ascii="宋体" w:hAnsi="宋体" w:eastAsia="宋体"/>
                <w:sz w:val="17"/>
              </w:rPr>
              <w:t>平台项目、软件服务、运营支持</w:t>
            </w:r>
          </w:p>
        </w:tc>
        <w:tc>
          <w:tcPr>
            <w:tcW w:type="dxa" w:w="3410"/>
            <w:vAlign w:val="center"/>
            <w:shd w:fill="EEF3F7"/>
          </w:tcPr>
          <w:p>
            <w:pPr>
              <w:spacing w:after="0" w:before="0" w:line="252" w:lineRule="auto"/>
            </w:pPr>
            <w:r/>
            <w:r>
              <w:rPr>
                <w:rFonts w:ascii="宋体" w:hAnsi="宋体" w:eastAsia="宋体"/>
                <w:sz w:val="17"/>
              </w:rPr>
              <w:t>数据标准、部署能力、项目验收、持续运维</w:t>
            </w:r>
          </w:p>
        </w:tc>
        <w:tc>
          <w:tcPr>
            <w:tcW w:type="dxa" w:w="2598"/>
            <w:vAlign w:val="center"/>
            <w:shd w:fill="EEF3F7"/>
          </w:tcPr>
          <w:p>
            <w:pPr>
              <w:spacing w:after="0" w:before="0" w:line="252" w:lineRule="auto"/>
            </w:pPr>
            <w:r/>
            <w:r>
              <w:rPr>
                <w:rFonts w:ascii="宋体" w:hAnsi="宋体" w:eastAsia="宋体"/>
                <w:sz w:val="17"/>
              </w:rPr>
              <w:t>签约、上线、项目确认、回款与续约</w:t>
            </w:r>
          </w:p>
        </w:tc>
      </w:tr>
    </w:tbl>
    <w:p>
      <w:pPr>
        <w:spacing w:after="60"/>
      </w:pPr>
    </w:p>
    <w:p>
      <w:pPr>
        <w:spacing w:after="100"/>
        <w:ind w:firstLine="420"/>
      </w:pPr>
      <w:r>
        <w:rPr>
          <w:rFonts w:ascii="宋体" w:hAnsi="宋体" w:eastAsia="宋体"/>
          <w:sz w:val="21"/>
        </w:rPr>
        <w:t>2026年7月，中国政府采购网披露四川大学华西医院采购一套甲状腺结节超声影像辅助诊断软件，中标金额92.7万元。该公告确认了一次公开采购结果；大范围装机、验收状态、后续使用频次及上市公司层面的收入贡献仍需以相应公开披露判断。对所有医疗AI公司而言，公开采购资料提供了可追溯的项目线索，定期报告则承担经营数据的确认作用。[18]</w:t>
      </w:r>
    </w:p>
    <w:p>
      <w:pPr>
        <w:spacing w:after="100"/>
        <w:ind w:firstLine="420"/>
      </w:pPr>
      <w:r>
        <w:rPr>
          <w:rFonts w:ascii="宋体" w:hAnsi="宋体" w:eastAsia="宋体"/>
          <w:sz w:val="21"/>
        </w:rPr>
        <w:t>从系统集成角度看，医学影像产品通常需要与DICOM、PACS、RIS、HIS等系统发生连接。软件产品、设备模块和数据服务在医院内承担的职责不同，采购周期、部署难度和后续服务模式也随之变化。行业研究应将“展示AI功能”与“在医院持续运行”分开描述。</w:t>
      </w:r>
    </w:p>
    <w:p>
      <w:pPr>
        <w:pStyle w:val="Heading2"/>
        <w:pageBreakBefore w:val="0"/>
      </w:pPr>
      <w:r>
        <w:rPr>
          <w:rFonts w:ascii="Microsoft YaHei" w:hAnsi="Microsoft YaHei" w:eastAsia="Microsoft YaHei"/>
          <w:b/>
          <w:color w:val="1F4E78"/>
          <w:sz w:val="28"/>
        </w:rPr>
        <w:t>商业化进程与收入识别</w:t>
      </w:r>
    </w:p>
    <w:p>
      <w:pPr>
        <w:spacing w:after="100"/>
        <w:ind w:firstLine="420"/>
      </w:pPr>
      <w:r>
        <w:rPr>
          <w:rFonts w:ascii="宋体" w:hAnsi="宋体" w:eastAsia="宋体"/>
          <w:sz w:val="21"/>
        </w:rPr>
        <w:t>七家样本公司均披露了医疗AI、医学影像智能化或相关产品能力，财务口径存在显著差异。下表使用2025年年报的合并营业收入，并保留公司对AI或医疗业务的原始披露口径。金额为人民币；鹰瞳科技以人民币千元列报，已换算为亿元。</w:t>
      </w:r>
    </w:p>
    <w:tbl>
      <w:tblPr>
        <w:tblStyle w:val="TableGrid"/>
        <w:tblW w:type="auto" w:w="0"/>
        <w:tblLayout w:type="fixed"/>
        <w:tblLook w:firstColumn="1" w:firstRow="1" w:lastColumn="0" w:lastRow="0" w:noHBand="0" w:noVBand="1" w:val="04A0"/>
      </w:tblPr>
      <w:tblGrid>
        <w:gridCol w:w="1700"/>
        <w:gridCol w:w="1700"/>
        <w:gridCol w:w="1700"/>
        <w:gridCol w:w="1700"/>
        <w:gridCol w:w="1700"/>
        <w:gridCol w:w="1700"/>
      </w:tblGrid>
      <w:tr>
        <w:trPr>
          <w:cantSplit/>
          <w:tblHeader w:val="true"/>
        </w:trPr>
        <w:tc>
          <w:tcPr>
            <w:tcW w:type="dxa" w:w="845"/>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公司</w:t>
            </w:r>
          </w:p>
        </w:tc>
        <w:tc>
          <w:tcPr>
            <w:tcW w:type="dxa" w:w="1268"/>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2023年营业收入</w:t>
            </w:r>
          </w:p>
        </w:tc>
        <w:tc>
          <w:tcPr>
            <w:tcW w:type="dxa" w:w="1268"/>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2024年营业收入</w:t>
            </w:r>
          </w:p>
        </w:tc>
        <w:tc>
          <w:tcPr>
            <w:tcW w:type="dxa" w:w="1268"/>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2025年营业收入</w:t>
            </w:r>
          </w:p>
        </w:tc>
        <w:tc>
          <w:tcPr>
            <w:tcW w:type="dxa" w:w="986"/>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2025年同比</w:t>
            </w:r>
          </w:p>
        </w:tc>
        <w:tc>
          <w:tcPr>
            <w:tcW w:type="dxa" w:w="3945"/>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可识别的相关收入或经营口径</w:t>
            </w:r>
          </w:p>
        </w:tc>
      </w:tr>
      <w:tr>
        <w:trPr>
          <w:cantSplit/>
        </w:trPr>
        <w:tc>
          <w:tcPr>
            <w:tcW w:type="dxa" w:w="845"/>
            <w:vAlign w:val="center"/>
          </w:tcPr>
          <w:p>
            <w:pPr>
              <w:spacing w:after="0" w:before="0" w:line="252" w:lineRule="auto"/>
            </w:pPr>
            <w:r/>
            <w:r>
              <w:rPr>
                <w:rFonts w:ascii="宋体" w:hAnsi="宋体" w:eastAsia="宋体"/>
                <w:sz w:val="16"/>
              </w:rPr>
              <w:t>卫宁健康</w:t>
            </w:r>
          </w:p>
        </w:tc>
        <w:tc>
          <w:tcPr>
            <w:tcW w:type="dxa" w:w="1268"/>
            <w:vAlign w:val="center"/>
          </w:tcPr>
          <w:p>
            <w:pPr>
              <w:spacing w:after="0" w:before="0" w:line="252" w:lineRule="auto"/>
            </w:pPr>
            <w:r/>
            <w:r>
              <w:rPr>
                <w:rFonts w:ascii="宋体" w:hAnsi="宋体" w:eastAsia="宋体"/>
                <w:sz w:val="16"/>
              </w:rPr>
              <w:t>31.63亿元</w:t>
            </w:r>
          </w:p>
        </w:tc>
        <w:tc>
          <w:tcPr>
            <w:tcW w:type="dxa" w:w="1268"/>
            <w:vAlign w:val="center"/>
          </w:tcPr>
          <w:p>
            <w:pPr>
              <w:spacing w:after="0" w:before="0" w:line="252" w:lineRule="auto"/>
            </w:pPr>
            <w:r/>
            <w:r>
              <w:rPr>
                <w:rFonts w:ascii="宋体" w:hAnsi="宋体" w:eastAsia="宋体"/>
                <w:sz w:val="16"/>
              </w:rPr>
              <w:t>27.82亿元</w:t>
            </w:r>
          </w:p>
        </w:tc>
        <w:tc>
          <w:tcPr>
            <w:tcW w:type="dxa" w:w="1268"/>
            <w:vAlign w:val="center"/>
          </w:tcPr>
          <w:p>
            <w:pPr>
              <w:spacing w:after="0" w:before="0" w:line="252" w:lineRule="auto"/>
            </w:pPr>
            <w:r/>
            <w:r>
              <w:rPr>
                <w:rFonts w:ascii="宋体" w:hAnsi="宋体" w:eastAsia="宋体"/>
                <w:sz w:val="16"/>
              </w:rPr>
              <w:t>21.06亿元</w:t>
            </w:r>
          </w:p>
        </w:tc>
        <w:tc>
          <w:tcPr>
            <w:tcW w:type="dxa" w:w="986"/>
            <w:vAlign w:val="center"/>
          </w:tcPr>
          <w:p>
            <w:pPr>
              <w:spacing w:after="0" w:before="0" w:line="252" w:lineRule="auto"/>
            </w:pPr>
            <w:r/>
            <w:r>
              <w:rPr>
                <w:rFonts w:ascii="宋体" w:hAnsi="宋体" w:eastAsia="宋体"/>
                <w:sz w:val="16"/>
              </w:rPr>
              <w:t>-24.30%</w:t>
            </w:r>
          </w:p>
        </w:tc>
        <w:tc>
          <w:tcPr>
            <w:tcW w:type="dxa" w:w="3945"/>
            <w:vAlign w:val="center"/>
          </w:tcPr>
          <w:p>
            <w:pPr>
              <w:spacing w:after="0" w:before="0" w:line="252" w:lineRule="auto"/>
            </w:pPr>
            <w:r/>
            <w:r>
              <w:rPr>
                <w:rFonts w:ascii="宋体" w:hAnsi="宋体" w:eastAsia="宋体"/>
                <w:sz w:val="16"/>
              </w:rPr>
              <w:t>医疗信息化软件及服务；未单列AI收入</w:t>
            </w:r>
          </w:p>
        </w:tc>
      </w:tr>
      <w:tr>
        <w:trPr>
          <w:cantSplit/>
        </w:trPr>
        <w:tc>
          <w:tcPr>
            <w:tcW w:type="dxa" w:w="845"/>
            <w:vAlign w:val="center"/>
            <w:shd w:fill="EEF3F7"/>
          </w:tcPr>
          <w:p>
            <w:pPr>
              <w:spacing w:after="0" w:before="0" w:line="252" w:lineRule="auto"/>
            </w:pPr>
            <w:r/>
            <w:r>
              <w:rPr>
                <w:rFonts w:ascii="宋体" w:hAnsi="宋体" w:eastAsia="宋体"/>
                <w:sz w:val="16"/>
              </w:rPr>
              <w:t>鹰瞳科技</w:t>
            </w:r>
          </w:p>
        </w:tc>
        <w:tc>
          <w:tcPr>
            <w:tcW w:type="dxa" w:w="1268"/>
            <w:vAlign w:val="center"/>
            <w:shd w:fill="EEF3F7"/>
          </w:tcPr>
          <w:p>
            <w:pPr>
              <w:spacing w:after="0" w:before="0" w:line="252" w:lineRule="auto"/>
            </w:pPr>
            <w:r/>
            <w:r>
              <w:rPr>
                <w:rFonts w:ascii="宋体" w:hAnsi="宋体" w:eastAsia="宋体"/>
                <w:sz w:val="16"/>
              </w:rPr>
              <w:t>2.04亿元</w:t>
            </w:r>
          </w:p>
        </w:tc>
        <w:tc>
          <w:tcPr>
            <w:tcW w:type="dxa" w:w="1268"/>
            <w:vAlign w:val="center"/>
            <w:shd w:fill="EEF3F7"/>
          </w:tcPr>
          <w:p>
            <w:pPr>
              <w:spacing w:after="0" w:before="0" w:line="252" w:lineRule="auto"/>
            </w:pPr>
            <w:r/>
            <w:r>
              <w:rPr>
                <w:rFonts w:ascii="宋体" w:hAnsi="宋体" w:eastAsia="宋体"/>
                <w:sz w:val="16"/>
              </w:rPr>
              <w:t>1.56亿元</w:t>
            </w:r>
          </w:p>
        </w:tc>
        <w:tc>
          <w:tcPr>
            <w:tcW w:type="dxa" w:w="1268"/>
            <w:vAlign w:val="center"/>
            <w:shd w:fill="EEF3F7"/>
          </w:tcPr>
          <w:p>
            <w:pPr>
              <w:spacing w:after="0" w:before="0" w:line="252" w:lineRule="auto"/>
            </w:pPr>
            <w:r/>
            <w:r>
              <w:rPr>
                <w:rFonts w:ascii="宋体" w:hAnsi="宋体" w:eastAsia="宋体"/>
                <w:sz w:val="16"/>
              </w:rPr>
              <w:t>1.73亿元</w:t>
            </w:r>
          </w:p>
        </w:tc>
        <w:tc>
          <w:tcPr>
            <w:tcW w:type="dxa" w:w="986"/>
            <w:vAlign w:val="center"/>
            <w:shd w:fill="EEF3F7"/>
          </w:tcPr>
          <w:p>
            <w:pPr>
              <w:spacing w:after="0" w:before="0" w:line="252" w:lineRule="auto"/>
            </w:pPr>
            <w:r/>
            <w:r>
              <w:rPr>
                <w:rFonts w:ascii="宋体" w:hAnsi="宋体" w:eastAsia="宋体"/>
                <w:sz w:val="16"/>
              </w:rPr>
              <w:t>+10.80%</w:t>
            </w:r>
          </w:p>
        </w:tc>
        <w:tc>
          <w:tcPr>
            <w:tcW w:type="dxa" w:w="3945"/>
            <w:vAlign w:val="center"/>
            <w:shd w:fill="EEF3F7"/>
          </w:tcPr>
          <w:p>
            <w:pPr>
              <w:spacing w:after="0" w:before="0" w:line="252" w:lineRule="auto"/>
            </w:pPr>
            <w:r/>
            <w:r>
              <w:rPr>
                <w:rFonts w:ascii="宋体" w:hAnsi="宋体" w:eastAsia="宋体"/>
                <w:sz w:val="16"/>
              </w:rPr>
              <w:t>视网膜检测AI、近视防控AI产品线收入</w:t>
            </w:r>
          </w:p>
        </w:tc>
      </w:tr>
      <w:tr>
        <w:trPr>
          <w:cantSplit/>
        </w:trPr>
        <w:tc>
          <w:tcPr>
            <w:tcW w:type="dxa" w:w="845"/>
            <w:vAlign w:val="center"/>
          </w:tcPr>
          <w:p>
            <w:pPr>
              <w:spacing w:after="0" w:before="0" w:line="252" w:lineRule="auto"/>
            </w:pPr>
            <w:r/>
            <w:r>
              <w:rPr>
                <w:rFonts w:ascii="宋体" w:hAnsi="宋体" w:eastAsia="宋体"/>
                <w:sz w:val="16"/>
              </w:rPr>
              <w:t>科大讯飞</w:t>
            </w:r>
          </w:p>
        </w:tc>
        <w:tc>
          <w:tcPr>
            <w:tcW w:type="dxa" w:w="1268"/>
            <w:vAlign w:val="center"/>
          </w:tcPr>
          <w:p>
            <w:pPr>
              <w:spacing w:after="0" w:before="0" w:line="252" w:lineRule="auto"/>
            </w:pPr>
            <w:r/>
            <w:r>
              <w:rPr>
                <w:rFonts w:ascii="宋体" w:hAnsi="宋体" w:eastAsia="宋体"/>
                <w:sz w:val="16"/>
              </w:rPr>
              <w:t>196.50亿元</w:t>
            </w:r>
          </w:p>
        </w:tc>
        <w:tc>
          <w:tcPr>
            <w:tcW w:type="dxa" w:w="1268"/>
            <w:vAlign w:val="center"/>
          </w:tcPr>
          <w:p>
            <w:pPr>
              <w:spacing w:after="0" w:before="0" w:line="252" w:lineRule="auto"/>
            </w:pPr>
            <w:r/>
            <w:r>
              <w:rPr>
                <w:rFonts w:ascii="宋体" w:hAnsi="宋体" w:eastAsia="宋体"/>
                <w:sz w:val="16"/>
              </w:rPr>
              <w:t>233.43亿元</w:t>
            </w:r>
          </w:p>
        </w:tc>
        <w:tc>
          <w:tcPr>
            <w:tcW w:type="dxa" w:w="1268"/>
            <w:vAlign w:val="center"/>
          </w:tcPr>
          <w:p>
            <w:pPr>
              <w:spacing w:after="0" w:before="0" w:line="252" w:lineRule="auto"/>
            </w:pPr>
            <w:r/>
            <w:r>
              <w:rPr>
                <w:rFonts w:ascii="宋体" w:hAnsi="宋体" w:eastAsia="宋体"/>
                <w:sz w:val="16"/>
              </w:rPr>
              <w:t>271.05亿元</w:t>
            </w:r>
          </w:p>
        </w:tc>
        <w:tc>
          <w:tcPr>
            <w:tcW w:type="dxa" w:w="986"/>
            <w:vAlign w:val="center"/>
          </w:tcPr>
          <w:p>
            <w:pPr>
              <w:spacing w:after="0" w:before="0" w:line="252" w:lineRule="auto"/>
            </w:pPr>
            <w:r/>
            <w:r>
              <w:rPr>
                <w:rFonts w:ascii="宋体" w:hAnsi="宋体" w:eastAsia="宋体"/>
                <w:sz w:val="16"/>
              </w:rPr>
              <w:t>+16.12%</w:t>
            </w:r>
          </w:p>
        </w:tc>
        <w:tc>
          <w:tcPr>
            <w:tcW w:type="dxa" w:w="3945"/>
            <w:vAlign w:val="center"/>
          </w:tcPr>
          <w:p>
            <w:pPr>
              <w:spacing w:after="0" w:before="0" w:line="252" w:lineRule="auto"/>
            </w:pPr>
            <w:r/>
            <w:r>
              <w:rPr>
                <w:rFonts w:ascii="宋体" w:hAnsi="宋体" w:eastAsia="宋体"/>
                <w:sz w:val="16"/>
              </w:rPr>
              <w:t>智慧医疗收入8.58亿元</w:t>
            </w:r>
          </w:p>
        </w:tc>
      </w:tr>
      <w:tr>
        <w:trPr>
          <w:cantSplit/>
        </w:trPr>
        <w:tc>
          <w:tcPr>
            <w:tcW w:type="dxa" w:w="845"/>
            <w:vAlign w:val="center"/>
            <w:shd w:fill="EEF3F7"/>
          </w:tcPr>
          <w:p>
            <w:pPr>
              <w:spacing w:after="0" w:before="0" w:line="252" w:lineRule="auto"/>
            </w:pPr>
            <w:r/>
            <w:r>
              <w:rPr>
                <w:rFonts w:ascii="宋体" w:hAnsi="宋体" w:eastAsia="宋体"/>
                <w:sz w:val="16"/>
              </w:rPr>
              <w:t>联影医疗</w:t>
            </w:r>
          </w:p>
        </w:tc>
        <w:tc>
          <w:tcPr>
            <w:tcW w:type="dxa" w:w="1268"/>
            <w:vAlign w:val="center"/>
            <w:shd w:fill="EEF3F7"/>
          </w:tcPr>
          <w:p>
            <w:pPr>
              <w:spacing w:after="0" w:before="0" w:line="252" w:lineRule="auto"/>
            </w:pPr>
            <w:r/>
            <w:r>
              <w:rPr>
                <w:rFonts w:ascii="宋体" w:hAnsi="宋体" w:eastAsia="宋体"/>
                <w:sz w:val="16"/>
              </w:rPr>
              <w:t>114.11亿元</w:t>
            </w:r>
          </w:p>
        </w:tc>
        <w:tc>
          <w:tcPr>
            <w:tcW w:type="dxa" w:w="1268"/>
            <w:vAlign w:val="center"/>
            <w:shd w:fill="EEF3F7"/>
          </w:tcPr>
          <w:p>
            <w:pPr>
              <w:spacing w:after="0" w:before="0" w:line="252" w:lineRule="auto"/>
            </w:pPr>
            <w:r/>
            <w:r>
              <w:rPr>
                <w:rFonts w:ascii="宋体" w:hAnsi="宋体" w:eastAsia="宋体"/>
                <w:sz w:val="16"/>
              </w:rPr>
              <w:t>103.00亿元</w:t>
            </w:r>
          </w:p>
        </w:tc>
        <w:tc>
          <w:tcPr>
            <w:tcW w:type="dxa" w:w="1268"/>
            <w:vAlign w:val="center"/>
            <w:shd w:fill="EEF3F7"/>
          </w:tcPr>
          <w:p>
            <w:pPr>
              <w:spacing w:after="0" w:before="0" w:line="252" w:lineRule="auto"/>
            </w:pPr>
            <w:r/>
            <w:r>
              <w:rPr>
                <w:rFonts w:ascii="宋体" w:hAnsi="宋体" w:eastAsia="宋体"/>
                <w:sz w:val="16"/>
              </w:rPr>
              <w:t>138.00亿元</w:t>
            </w:r>
          </w:p>
        </w:tc>
        <w:tc>
          <w:tcPr>
            <w:tcW w:type="dxa" w:w="986"/>
            <w:vAlign w:val="center"/>
            <w:shd w:fill="EEF3F7"/>
          </w:tcPr>
          <w:p>
            <w:pPr>
              <w:spacing w:after="0" w:before="0" w:line="252" w:lineRule="auto"/>
            </w:pPr>
            <w:r/>
            <w:r>
              <w:rPr>
                <w:rFonts w:ascii="宋体" w:hAnsi="宋体" w:eastAsia="宋体"/>
                <w:sz w:val="16"/>
              </w:rPr>
              <w:t>+33.98%</w:t>
            </w:r>
          </w:p>
        </w:tc>
        <w:tc>
          <w:tcPr>
            <w:tcW w:type="dxa" w:w="3945"/>
            <w:vAlign w:val="center"/>
            <w:shd w:fill="EEF3F7"/>
          </w:tcPr>
          <w:p>
            <w:pPr>
              <w:spacing w:after="0" w:before="0" w:line="252" w:lineRule="auto"/>
            </w:pPr>
            <w:r/>
            <w:r>
              <w:rPr>
                <w:rFonts w:ascii="宋体" w:hAnsi="宋体" w:eastAsia="宋体"/>
                <w:sz w:val="16"/>
              </w:rPr>
              <w:t>设备、服务收入；未单列AI收入</w:t>
            </w:r>
          </w:p>
        </w:tc>
      </w:tr>
      <w:tr>
        <w:trPr>
          <w:cantSplit/>
        </w:trPr>
        <w:tc>
          <w:tcPr>
            <w:tcW w:type="dxa" w:w="845"/>
            <w:vAlign w:val="center"/>
          </w:tcPr>
          <w:p>
            <w:pPr>
              <w:spacing w:after="0" w:before="0" w:line="252" w:lineRule="auto"/>
            </w:pPr>
            <w:r/>
            <w:r>
              <w:rPr>
                <w:rFonts w:ascii="宋体" w:hAnsi="宋体" w:eastAsia="宋体"/>
                <w:sz w:val="16"/>
              </w:rPr>
              <w:t>迈瑞医疗</w:t>
            </w:r>
          </w:p>
        </w:tc>
        <w:tc>
          <w:tcPr>
            <w:tcW w:type="dxa" w:w="1268"/>
            <w:vAlign w:val="center"/>
          </w:tcPr>
          <w:p>
            <w:pPr>
              <w:spacing w:after="0" w:before="0" w:line="252" w:lineRule="auto"/>
            </w:pPr>
            <w:r/>
            <w:r>
              <w:rPr>
                <w:rFonts w:ascii="宋体" w:hAnsi="宋体" w:eastAsia="宋体"/>
                <w:sz w:val="16"/>
              </w:rPr>
              <w:t>349.32亿元</w:t>
            </w:r>
          </w:p>
        </w:tc>
        <w:tc>
          <w:tcPr>
            <w:tcW w:type="dxa" w:w="1268"/>
            <w:vAlign w:val="center"/>
          </w:tcPr>
          <w:p>
            <w:pPr>
              <w:spacing w:after="0" w:before="0" w:line="252" w:lineRule="auto"/>
            </w:pPr>
            <w:r/>
            <w:r>
              <w:rPr>
                <w:rFonts w:ascii="宋体" w:hAnsi="宋体" w:eastAsia="宋体"/>
                <w:sz w:val="16"/>
              </w:rPr>
              <w:t>367.26亿元</w:t>
            </w:r>
          </w:p>
        </w:tc>
        <w:tc>
          <w:tcPr>
            <w:tcW w:type="dxa" w:w="1268"/>
            <w:vAlign w:val="center"/>
          </w:tcPr>
          <w:p>
            <w:pPr>
              <w:spacing w:after="0" w:before="0" w:line="252" w:lineRule="auto"/>
            </w:pPr>
            <w:r/>
            <w:r>
              <w:rPr>
                <w:rFonts w:ascii="宋体" w:hAnsi="宋体" w:eastAsia="宋体"/>
                <w:sz w:val="16"/>
              </w:rPr>
              <w:t>332.82亿元</w:t>
            </w:r>
          </w:p>
        </w:tc>
        <w:tc>
          <w:tcPr>
            <w:tcW w:type="dxa" w:w="986"/>
            <w:vAlign w:val="center"/>
          </w:tcPr>
          <w:p>
            <w:pPr>
              <w:spacing w:after="0" w:before="0" w:line="252" w:lineRule="auto"/>
            </w:pPr>
            <w:r/>
            <w:r>
              <w:rPr>
                <w:rFonts w:ascii="宋体" w:hAnsi="宋体" w:eastAsia="宋体"/>
                <w:sz w:val="16"/>
              </w:rPr>
              <w:t>-9.38%</w:t>
            </w:r>
          </w:p>
        </w:tc>
        <w:tc>
          <w:tcPr>
            <w:tcW w:type="dxa" w:w="3945"/>
            <w:vAlign w:val="center"/>
          </w:tcPr>
          <w:p>
            <w:pPr>
              <w:spacing w:after="0" w:before="0" w:line="252" w:lineRule="auto"/>
            </w:pPr>
            <w:r/>
            <w:r>
              <w:rPr>
                <w:rFonts w:ascii="宋体" w:hAnsi="宋体" w:eastAsia="宋体"/>
                <w:sz w:val="16"/>
              </w:rPr>
              <w:t>医学影像收入57.17亿元；未单列AI收入</w:t>
            </w:r>
          </w:p>
        </w:tc>
      </w:tr>
      <w:tr>
        <w:trPr>
          <w:cantSplit/>
        </w:trPr>
        <w:tc>
          <w:tcPr>
            <w:tcW w:type="dxa" w:w="845"/>
            <w:vAlign w:val="center"/>
            <w:shd w:fill="EEF3F7"/>
          </w:tcPr>
          <w:p>
            <w:pPr>
              <w:spacing w:after="0" w:before="0" w:line="252" w:lineRule="auto"/>
            </w:pPr>
            <w:r/>
            <w:r>
              <w:rPr>
                <w:rFonts w:ascii="宋体" w:hAnsi="宋体" w:eastAsia="宋体"/>
                <w:sz w:val="16"/>
              </w:rPr>
              <w:t>奕瑞科技</w:t>
            </w:r>
          </w:p>
        </w:tc>
        <w:tc>
          <w:tcPr>
            <w:tcW w:type="dxa" w:w="1268"/>
            <w:vAlign w:val="center"/>
            <w:shd w:fill="EEF3F7"/>
          </w:tcPr>
          <w:p>
            <w:pPr>
              <w:spacing w:after="0" w:before="0" w:line="252" w:lineRule="auto"/>
            </w:pPr>
            <w:r/>
            <w:r>
              <w:rPr>
                <w:rFonts w:ascii="宋体" w:hAnsi="宋体" w:eastAsia="宋体"/>
                <w:sz w:val="16"/>
              </w:rPr>
              <w:t>18.64亿元</w:t>
            </w:r>
          </w:p>
        </w:tc>
        <w:tc>
          <w:tcPr>
            <w:tcW w:type="dxa" w:w="1268"/>
            <w:vAlign w:val="center"/>
            <w:shd w:fill="EEF3F7"/>
          </w:tcPr>
          <w:p>
            <w:pPr>
              <w:spacing w:after="0" w:before="0" w:line="252" w:lineRule="auto"/>
            </w:pPr>
            <w:r/>
            <w:r>
              <w:rPr>
                <w:rFonts w:ascii="宋体" w:hAnsi="宋体" w:eastAsia="宋体"/>
                <w:sz w:val="16"/>
              </w:rPr>
              <w:t>18.31亿元</w:t>
            </w:r>
          </w:p>
        </w:tc>
        <w:tc>
          <w:tcPr>
            <w:tcW w:type="dxa" w:w="1268"/>
            <w:vAlign w:val="center"/>
            <w:shd w:fill="EEF3F7"/>
          </w:tcPr>
          <w:p>
            <w:pPr>
              <w:spacing w:after="0" w:before="0" w:line="252" w:lineRule="auto"/>
            </w:pPr>
            <w:r/>
            <w:r>
              <w:rPr>
                <w:rFonts w:ascii="宋体" w:hAnsi="宋体" w:eastAsia="宋体"/>
                <w:sz w:val="16"/>
              </w:rPr>
              <w:t>22.51亿元</w:t>
            </w:r>
          </w:p>
        </w:tc>
        <w:tc>
          <w:tcPr>
            <w:tcW w:type="dxa" w:w="986"/>
            <w:vAlign w:val="center"/>
            <w:shd w:fill="EEF3F7"/>
          </w:tcPr>
          <w:p>
            <w:pPr>
              <w:spacing w:after="0" w:before="0" w:line="252" w:lineRule="auto"/>
            </w:pPr>
            <w:r/>
            <w:r>
              <w:rPr>
                <w:rFonts w:ascii="宋体" w:hAnsi="宋体" w:eastAsia="宋体"/>
                <w:sz w:val="16"/>
              </w:rPr>
              <w:t>+22.90%</w:t>
            </w:r>
          </w:p>
        </w:tc>
        <w:tc>
          <w:tcPr>
            <w:tcW w:type="dxa" w:w="3945"/>
            <w:vAlign w:val="center"/>
            <w:shd w:fill="EEF3F7"/>
          </w:tcPr>
          <w:p>
            <w:pPr>
              <w:spacing w:after="0" w:before="0" w:line="252" w:lineRule="auto"/>
            </w:pPr>
            <w:r/>
            <w:r>
              <w:rPr>
                <w:rFonts w:ascii="宋体" w:hAnsi="宋体" w:eastAsia="宋体"/>
                <w:sz w:val="16"/>
              </w:rPr>
              <w:t>探测器及核心部件收入；未单列AI软件收入</w:t>
            </w:r>
          </w:p>
        </w:tc>
      </w:tr>
      <w:tr>
        <w:trPr>
          <w:cantSplit/>
        </w:trPr>
        <w:tc>
          <w:tcPr>
            <w:tcW w:type="dxa" w:w="845"/>
            <w:vAlign w:val="center"/>
          </w:tcPr>
          <w:p>
            <w:pPr>
              <w:spacing w:after="0" w:before="0" w:line="252" w:lineRule="auto"/>
            </w:pPr>
            <w:r/>
            <w:r>
              <w:rPr>
                <w:rFonts w:ascii="宋体" w:hAnsi="宋体" w:eastAsia="宋体"/>
                <w:sz w:val="16"/>
              </w:rPr>
              <w:t>康众医疗</w:t>
            </w:r>
          </w:p>
        </w:tc>
        <w:tc>
          <w:tcPr>
            <w:tcW w:type="dxa" w:w="1268"/>
            <w:vAlign w:val="center"/>
          </w:tcPr>
          <w:p>
            <w:pPr>
              <w:spacing w:after="0" w:before="0" w:line="252" w:lineRule="auto"/>
            </w:pPr>
            <w:r/>
            <w:r>
              <w:rPr>
                <w:rFonts w:ascii="宋体" w:hAnsi="宋体" w:eastAsia="宋体"/>
                <w:sz w:val="16"/>
              </w:rPr>
              <w:t>2.74亿元</w:t>
            </w:r>
          </w:p>
        </w:tc>
        <w:tc>
          <w:tcPr>
            <w:tcW w:type="dxa" w:w="1268"/>
            <w:vAlign w:val="center"/>
          </w:tcPr>
          <w:p>
            <w:pPr>
              <w:spacing w:after="0" w:before="0" w:line="252" w:lineRule="auto"/>
            </w:pPr>
            <w:r/>
            <w:r>
              <w:rPr>
                <w:rFonts w:ascii="宋体" w:hAnsi="宋体" w:eastAsia="宋体"/>
                <w:sz w:val="16"/>
              </w:rPr>
              <w:t>2.98亿元</w:t>
            </w:r>
          </w:p>
        </w:tc>
        <w:tc>
          <w:tcPr>
            <w:tcW w:type="dxa" w:w="1268"/>
            <w:vAlign w:val="center"/>
          </w:tcPr>
          <w:p>
            <w:pPr>
              <w:spacing w:after="0" w:before="0" w:line="252" w:lineRule="auto"/>
            </w:pPr>
            <w:r/>
            <w:r>
              <w:rPr>
                <w:rFonts w:ascii="宋体" w:hAnsi="宋体" w:eastAsia="宋体"/>
                <w:sz w:val="16"/>
              </w:rPr>
              <w:t>3.21亿元</w:t>
            </w:r>
          </w:p>
        </w:tc>
        <w:tc>
          <w:tcPr>
            <w:tcW w:type="dxa" w:w="986"/>
            <w:vAlign w:val="center"/>
          </w:tcPr>
          <w:p>
            <w:pPr>
              <w:spacing w:after="0" w:before="0" w:line="252" w:lineRule="auto"/>
            </w:pPr>
            <w:r/>
            <w:r>
              <w:rPr>
                <w:rFonts w:ascii="宋体" w:hAnsi="宋体" w:eastAsia="宋体"/>
                <w:sz w:val="16"/>
              </w:rPr>
              <w:t>+7.63%</w:t>
            </w:r>
          </w:p>
        </w:tc>
        <w:tc>
          <w:tcPr>
            <w:tcW w:type="dxa" w:w="3945"/>
            <w:vAlign w:val="center"/>
          </w:tcPr>
          <w:p>
            <w:pPr>
              <w:spacing w:after="0" w:before="0" w:line="252" w:lineRule="auto"/>
            </w:pPr>
            <w:r/>
            <w:r>
              <w:rPr>
                <w:rFonts w:ascii="宋体" w:hAnsi="宋体" w:eastAsia="宋体"/>
                <w:sz w:val="16"/>
              </w:rPr>
              <w:t>医疗领域收入2.07亿元；2026年新增脉得智能并表入口</w:t>
            </w:r>
          </w:p>
        </w:tc>
      </w:tr>
    </w:tbl>
    <w:p>
      <w:pPr>
        <w:spacing w:after="60"/>
      </w:pPr>
    </w:p>
    <w:p>
      <w:pPr>
        <w:spacing w:after="100"/>
        <w:ind w:firstLine="420"/>
      </w:pPr>
      <w:r>
        <w:rPr>
          <w:rFonts w:ascii="宋体" w:hAnsi="宋体" w:eastAsia="宋体"/>
          <w:sz w:val="21"/>
        </w:rPr>
        <w:t>*表1：核心样本三年营业收入与相关业务口径。来源：各公司2025年年度报告；康众医疗2026年半年度报告。详见本报告“资料来源”。*</w:t>
      </w:r>
    </w:p>
    <w:p>
      <w:pPr>
        <w:spacing w:after="100"/>
        <w:ind w:firstLine="420"/>
      </w:pPr>
      <w:r>
        <w:rPr>
          <w:rFonts w:ascii="宋体" w:hAnsi="宋体" w:eastAsia="宋体"/>
          <w:sz w:val="21"/>
        </w:rPr>
        <w:t>2025年收入规模反映的是上市公司整体业务，而非AI业务的横向排名。科大讯飞的智慧医疗收入、鹰瞳科技的AI产品线收入，属于相对直接的相关收入线索；联影医疗、迈瑞医疗、奕瑞科技和康众医疗的智能化能力则分别嵌入设备、部件、解决方案或新纳入业务之中。对于这些公司，观察重点应放在产品收入、服务收入、模块渗透、客户使用和现金流的连续变化上。</w:t>
      </w:r>
    </w:p>
    <w:p>
      <w:pPr>
        <w:spacing w:after="100"/>
        <w:ind w:firstLine="420"/>
      </w:pPr>
      <w:r>
        <w:rPr>
          <w:rFonts w:ascii="宋体" w:hAnsi="宋体" w:eastAsia="宋体"/>
          <w:sz w:val="21"/>
        </w:rPr>
        <w:t>康众医疗的情况说明了并购延展型公司需要采用与既有业务分开的比较口径。公司2026年取得脉得智能控制权，使合并范围增加超声AI质控与辅助诊断产品入口。截至2026年6月30日并表，半年报披露的影响尚小。对其商业化进程的判断，除关注并表后的注册产品销售、客户使用、收入毛利和现金流披露外，还应关注海外客户是否出现可披露的产品协同，以及并购形成的借款、商誉和无形资产能否与新增经营贡献相匹配；交易本身不能直接等同于新增经营成果。[16][17]</w:t>
      </w:r>
    </w:p>
    <w:p>
      <w:pPr>
        <w:pStyle w:val="Heading2"/>
        <w:pageBreakBefore w:val="0"/>
      </w:pPr>
      <w:r>
        <w:rPr>
          <w:rFonts w:ascii="Microsoft YaHei" w:hAnsi="Microsoft YaHei" w:eastAsia="Microsoft YaHei"/>
          <w:b/>
          <w:color w:val="1F4E78"/>
          <w:sz w:val="28"/>
        </w:rPr>
        <w:t>医疗AI转型竞争力指数：固定样本试算</w:t>
      </w:r>
    </w:p>
    <w:p>
      <w:pPr>
        <w:spacing w:after="100"/>
        <w:ind w:firstLine="420"/>
      </w:pPr>
      <w:r>
        <w:rPr>
          <w:rFonts w:ascii="宋体" w:hAnsi="宋体" w:eastAsia="宋体"/>
          <w:sz w:val="21"/>
        </w:rPr>
        <w:t>医疗AI上市公司的收入规模、产品形态和商业模式存在显著差异。软件公司以独立产品或服务收入体现业务，设备企业通常通过整机、模块和服务合同实现价值，影像采集企业则由成像部件、数据连接和客户交付向智能影像产品线延展。本节在七家固定样本内设置医疗AI转型竞争力指数，评价产品合规、医院工作流、技术数据、转型执行、国际化渠道、财务弹性和再投入能力。</w:t>
      </w:r>
    </w:p>
    <w:p>
      <w:pPr>
        <w:spacing w:after="100"/>
        <w:ind w:firstLine="420"/>
      </w:pPr>
      <w:r>
        <w:rPr>
          <w:rFonts w:ascii="宋体" w:hAnsi="宋体" w:eastAsia="宋体"/>
          <w:sz w:val="21"/>
        </w:rPr>
        <w:t>该指数不以市值、营业收入或单一注册证决定排序。产品与合规、转型执行各占20分；医院工作流、国际化渠道和财务弹性各占15分；技术与数据基础占10分；规模与再投入能力占5分。指数反映产品临床应用、组织转型和客户服务的综合条件，不等同于营业收入排名。[27]-[29]</w:t>
      </w:r>
    </w:p>
    <w:p>
      <w:pPr>
        <w:spacing w:before="80" w:after="60"/>
        <w:jc w:val="center"/>
      </w:pPr>
      <w:r>
        <w:drawing>
          <wp:inline xmlns:a="http://schemas.openxmlformats.org/drawingml/2006/main" xmlns:pic="http://schemas.openxmlformats.org/drawingml/2006/picture">
            <wp:extent cx="5868000" cy="3527238"/>
            <wp:docPr id="6" name="Picture 6"/>
            <wp:cNvGraphicFramePr>
              <a:graphicFrameLocks noChangeAspect="1"/>
            </wp:cNvGraphicFramePr>
            <a:graphic>
              <a:graphicData uri="http://schemas.openxmlformats.org/drawingml/2006/picture">
                <pic:pic>
                  <pic:nvPicPr>
                    <pic:cNvPr id="0" name="指数_图1_评分结构.png"/>
                    <pic:cNvPicPr/>
                  </pic:nvPicPr>
                  <pic:blipFill>
                    <a:blip r:embed="rId16"/>
                    <a:stretch>
                      <a:fillRect/>
                    </a:stretch>
                  </pic:blipFill>
                  <pic:spPr>
                    <a:xfrm>
                      <a:off x="0" y="0"/>
                      <a:ext cx="5868000" cy="3527238"/>
                    </a:xfrm>
                    <a:prstGeom prst="rect"/>
                  </pic:spPr>
                </pic:pic>
              </a:graphicData>
            </a:graphic>
          </wp:inline>
        </w:drawing>
      </w:r>
    </w:p>
    <w:p>
      <w:pPr>
        <w:spacing w:after="160"/>
        <w:jc w:val="center"/>
      </w:pPr>
      <w:r>
        <w:rPr>
          <w:rFonts w:ascii="宋体" w:hAnsi="宋体" w:eastAsia="宋体"/>
          <w:i/>
          <w:color w:val="5A646E"/>
          <w:sz w:val="17"/>
        </w:rPr>
        <w:t>图6：医疗AI转型竞争力指数的评分结构。规模与再投入能力权重为5%，其余95分由产品、医院工作流、技术数据、转型执行、国际化与财务条件构成。</w:t>
      </w:r>
    </w:p>
    <w:tbl>
      <w:tblPr>
        <w:tblStyle w:val="TableGrid"/>
        <w:tblW w:type="auto" w:w="0"/>
        <w:tblLayout w:type="fixed"/>
        <w:tblLook w:firstColumn="1" w:firstRow="1" w:lastColumn="0" w:lastRow="0" w:noHBand="0" w:noVBand="1" w:val="04A0"/>
      </w:tblPr>
      <w:tblGrid>
        <w:gridCol w:w="2550"/>
        <w:gridCol w:w="2550"/>
        <w:gridCol w:w="2550"/>
        <w:gridCol w:w="2550"/>
      </w:tblGrid>
      <w:tr>
        <w:trPr>
          <w:cantSplit/>
          <w:tblHeader w:val="true"/>
        </w:trPr>
        <w:tc>
          <w:tcPr>
            <w:tcW w:type="dxa" w:w="1988"/>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评价维度</w:t>
            </w:r>
          </w:p>
        </w:tc>
        <w:tc>
          <w:tcPr>
            <w:tcW w:type="dxa" w:w="1084"/>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权重</w:t>
            </w:r>
          </w:p>
        </w:tc>
        <w:tc>
          <w:tcPr>
            <w:tcW w:type="dxa" w:w="3796"/>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主要观察内容</w:t>
            </w:r>
          </w:p>
        </w:tc>
        <w:tc>
          <w:tcPr>
            <w:tcW w:type="dxa" w:w="2711"/>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不直接替代该项能力的公开资料</w:t>
            </w:r>
          </w:p>
        </w:tc>
      </w:tr>
      <w:tr>
        <w:trPr>
          <w:cantSplit/>
        </w:trPr>
        <w:tc>
          <w:tcPr>
            <w:tcW w:type="dxa" w:w="1988"/>
            <w:vAlign w:val="center"/>
          </w:tcPr>
          <w:p>
            <w:pPr>
              <w:spacing w:after="0" w:before="0" w:line="252" w:lineRule="auto"/>
            </w:pPr>
            <w:r/>
            <w:r>
              <w:rPr>
                <w:rFonts w:ascii="宋体" w:hAnsi="宋体" w:eastAsia="宋体"/>
                <w:sz w:val="17"/>
              </w:rPr>
              <w:t>医疗AI产品与合规进程</w:t>
            </w:r>
          </w:p>
        </w:tc>
        <w:tc>
          <w:tcPr>
            <w:tcW w:type="dxa" w:w="1084"/>
            <w:vAlign w:val="center"/>
          </w:tcPr>
          <w:p>
            <w:pPr>
              <w:spacing w:after="0" w:before="0" w:line="252" w:lineRule="auto"/>
            </w:pPr>
            <w:r/>
            <w:r>
              <w:rPr>
                <w:rFonts w:ascii="宋体" w:hAnsi="宋体" w:eastAsia="宋体"/>
                <w:sz w:val="17"/>
              </w:rPr>
              <w:t>20</w:t>
            </w:r>
          </w:p>
        </w:tc>
        <w:tc>
          <w:tcPr>
            <w:tcW w:type="dxa" w:w="3796"/>
            <w:vAlign w:val="center"/>
          </w:tcPr>
          <w:p>
            <w:pPr>
              <w:spacing w:after="0" w:before="0" w:line="252" w:lineRule="auto"/>
            </w:pPr>
            <w:r/>
            <w:r>
              <w:rPr>
                <w:rFonts w:ascii="宋体" w:hAnsi="宋体" w:eastAsia="宋体"/>
                <w:sz w:val="17"/>
              </w:rPr>
              <w:t>产品名称、预期用途、注册、产品化和收入识别</w:t>
            </w:r>
          </w:p>
        </w:tc>
        <w:tc>
          <w:tcPr>
            <w:tcW w:type="dxa" w:w="2711"/>
            <w:vAlign w:val="center"/>
          </w:tcPr>
          <w:p>
            <w:pPr>
              <w:spacing w:after="0" w:before="0" w:line="252" w:lineRule="auto"/>
            </w:pPr>
            <w:r/>
            <w:r>
              <w:rPr>
                <w:rFonts w:ascii="宋体" w:hAnsi="宋体" w:eastAsia="宋体"/>
                <w:sz w:val="17"/>
              </w:rPr>
              <w:t>算法研发、产品演示或概念发布</w:t>
            </w:r>
          </w:p>
        </w:tc>
      </w:tr>
      <w:tr>
        <w:trPr>
          <w:cantSplit/>
        </w:trPr>
        <w:tc>
          <w:tcPr>
            <w:tcW w:type="dxa" w:w="1988"/>
            <w:vAlign w:val="center"/>
            <w:shd w:fill="EEF3F7"/>
          </w:tcPr>
          <w:p>
            <w:pPr>
              <w:spacing w:after="0" w:before="0" w:line="252" w:lineRule="auto"/>
            </w:pPr>
            <w:r/>
            <w:r>
              <w:rPr>
                <w:rFonts w:ascii="宋体" w:hAnsi="宋体" w:eastAsia="宋体"/>
                <w:sz w:val="17"/>
              </w:rPr>
              <w:t>医疗工作流与商业落地</w:t>
            </w:r>
          </w:p>
        </w:tc>
        <w:tc>
          <w:tcPr>
            <w:tcW w:type="dxa" w:w="1084"/>
            <w:vAlign w:val="center"/>
            <w:shd w:fill="EEF3F7"/>
          </w:tcPr>
          <w:p>
            <w:pPr>
              <w:spacing w:after="0" w:before="0" w:line="252" w:lineRule="auto"/>
            </w:pPr>
            <w:r/>
            <w:r>
              <w:rPr>
                <w:rFonts w:ascii="宋体" w:hAnsi="宋体" w:eastAsia="宋体"/>
                <w:sz w:val="17"/>
              </w:rPr>
              <w:t>15</w:t>
            </w:r>
          </w:p>
        </w:tc>
        <w:tc>
          <w:tcPr>
            <w:tcW w:type="dxa" w:w="3796"/>
            <w:vAlign w:val="center"/>
            <w:shd w:fill="EEF3F7"/>
          </w:tcPr>
          <w:p>
            <w:pPr>
              <w:spacing w:after="0" w:before="0" w:line="252" w:lineRule="auto"/>
            </w:pPr>
            <w:r/>
            <w:r>
              <w:rPr>
                <w:rFonts w:ascii="宋体" w:hAnsi="宋体" w:eastAsia="宋体"/>
                <w:sz w:val="17"/>
              </w:rPr>
              <w:t>医院接入、交付、验收、服务、复购与持续使用</w:t>
            </w:r>
          </w:p>
        </w:tc>
        <w:tc>
          <w:tcPr>
            <w:tcW w:type="dxa" w:w="2711"/>
            <w:vAlign w:val="center"/>
            <w:shd w:fill="EEF3F7"/>
          </w:tcPr>
          <w:p>
            <w:pPr>
              <w:spacing w:after="0" w:before="0" w:line="252" w:lineRule="auto"/>
            </w:pPr>
            <w:r/>
            <w:r>
              <w:rPr>
                <w:rFonts w:ascii="宋体" w:hAnsi="宋体" w:eastAsia="宋体"/>
                <w:sz w:val="17"/>
              </w:rPr>
              <w:t>一次中标或一次签约</w:t>
            </w:r>
          </w:p>
        </w:tc>
      </w:tr>
      <w:tr>
        <w:trPr>
          <w:cantSplit/>
        </w:trPr>
        <w:tc>
          <w:tcPr>
            <w:tcW w:type="dxa" w:w="1988"/>
            <w:vAlign w:val="center"/>
          </w:tcPr>
          <w:p>
            <w:pPr>
              <w:spacing w:after="0" w:before="0" w:line="252" w:lineRule="auto"/>
            </w:pPr>
            <w:r/>
            <w:r>
              <w:rPr>
                <w:rFonts w:ascii="宋体" w:hAnsi="宋体" w:eastAsia="宋体"/>
                <w:sz w:val="17"/>
              </w:rPr>
              <w:t>技术与数据基础</w:t>
            </w:r>
          </w:p>
        </w:tc>
        <w:tc>
          <w:tcPr>
            <w:tcW w:type="dxa" w:w="1084"/>
            <w:vAlign w:val="center"/>
          </w:tcPr>
          <w:p>
            <w:pPr>
              <w:spacing w:after="0" w:before="0" w:line="252" w:lineRule="auto"/>
            </w:pPr>
            <w:r/>
            <w:r>
              <w:rPr>
                <w:rFonts w:ascii="宋体" w:hAnsi="宋体" w:eastAsia="宋体"/>
                <w:sz w:val="17"/>
              </w:rPr>
              <w:t>10</w:t>
            </w:r>
          </w:p>
        </w:tc>
        <w:tc>
          <w:tcPr>
            <w:tcW w:type="dxa" w:w="3796"/>
            <w:vAlign w:val="center"/>
          </w:tcPr>
          <w:p>
            <w:pPr>
              <w:spacing w:after="0" w:before="0" w:line="252" w:lineRule="auto"/>
            </w:pPr>
            <w:r/>
            <w:r>
              <w:rPr>
                <w:rFonts w:ascii="宋体" w:hAnsi="宋体" w:eastAsia="宋体"/>
                <w:sz w:val="17"/>
              </w:rPr>
              <w:t>成像、软件、数据连接、研发和产品工程化</w:t>
            </w:r>
          </w:p>
        </w:tc>
        <w:tc>
          <w:tcPr>
            <w:tcW w:type="dxa" w:w="2711"/>
            <w:vAlign w:val="center"/>
          </w:tcPr>
          <w:p>
            <w:pPr>
              <w:spacing w:after="0" w:before="0" w:line="252" w:lineRule="auto"/>
            </w:pPr>
            <w:r/>
            <w:r>
              <w:rPr>
                <w:rFonts w:ascii="宋体" w:hAnsi="宋体" w:eastAsia="宋体"/>
                <w:sz w:val="17"/>
              </w:rPr>
              <w:t>仅以专利数量推断能力</w:t>
            </w:r>
          </w:p>
        </w:tc>
      </w:tr>
      <w:tr>
        <w:trPr>
          <w:cantSplit/>
        </w:trPr>
        <w:tc>
          <w:tcPr>
            <w:tcW w:type="dxa" w:w="1988"/>
            <w:vAlign w:val="center"/>
            <w:shd w:fill="EEF3F7"/>
          </w:tcPr>
          <w:p>
            <w:pPr>
              <w:spacing w:after="0" w:before="0" w:line="252" w:lineRule="auto"/>
            </w:pPr>
            <w:r/>
            <w:r>
              <w:rPr>
                <w:rFonts w:ascii="宋体" w:hAnsi="宋体" w:eastAsia="宋体"/>
                <w:sz w:val="17"/>
              </w:rPr>
              <w:t>转型执行与团队能力</w:t>
            </w:r>
          </w:p>
        </w:tc>
        <w:tc>
          <w:tcPr>
            <w:tcW w:type="dxa" w:w="1084"/>
            <w:vAlign w:val="center"/>
            <w:shd w:fill="EEF3F7"/>
          </w:tcPr>
          <w:p>
            <w:pPr>
              <w:spacing w:after="0" w:before="0" w:line="252" w:lineRule="auto"/>
            </w:pPr>
            <w:r/>
            <w:r>
              <w:rPr>
                <w:rFonts w:ascii="宋体" w:hAnsi="宋体" w:eastAsia="宋体"/>
                <w:sz w:val="17"/>
              </w:rPr>
              <w:t>20</w:t>
            </w:r>
          </w:p>
        </w:tc>
        <w:tc>
          <w:tcPr>
            <w:tcW w:type="dxa" w:w="3796"/>
            <w:vAlign w:val="center"/>
            <w:shd w:fill="EEF3F7"/>
          </w:tcPr>
          <w:p>
            <w:pPr>
              <w:spacing w:after="0" w:before="0" w:line="252" w:lineRule="auto"/>
            </w:pPr>
            <w:r/>
            <w:r>
              <w:rPr>
                <w:rFonts w:ascii="宋体" w:hAnsi="宋体" w:eastAsia="宋体"/>
                <w:sz w:val="17"/>
              </w:rPr>
              <w:t>产品推进、并购完成、整合、组织和协同事实</w:t>
            </w:r>
          </w:p>
        </w:tc>
        <w:tc>
          <w:tcPr>
            <w:tcW w:type="dxa" w:w="2711"/>
            <w:vAlign w:val="center"/>
            <w:shd w:fill="EEF3F7"/>
          </w:tcPr>
          <w:p>
            <w:pPr>
              <w:spacing w:after="0" w:before="0" w:line="252" w:lineRule="auto"/>
            </w:pPr>
            <w:r/>
            <w:r>
              <w:rPr>
                <w:rFonts w:ascii="宋体" w:hAnsi="宋体" w:eastAsia="宋体"/>
                <w:sz w:val="17"/>
              </w:rPr>
              <w:t>并购意向、交易目标或业绩承诺</w:t>
            </w:r>
          </w:p>
        </w:tc>
      </w:tr>
      <w:tr>
        <w:trPr>
          <w:cantSplit/>
        </w:trPr>
        <w:tc>
          <w:tcPr>
            <w:tcW w:type="dxa" w:w="1988"/>
            <w:vAlign w:val="center"/>
          </w:tcPr>
          <w:p>
            <w:pPr>
              <w:spacing w:after="0" w:before="0" w:line="252" w:lineRule="auto"/>
            </w:pPr>
            <w:r/>
            <w:r>
              <w:rPr>
                <w:rFonts w:ascii="宋体" w:hAnsi="宋体" w:eastAsia="宋体"/>
                <w:sz w:val="17"/>
              </w:rPr>
              <w:t>国际化与渠道韧性</w:t>
            </w:r>
          </w:p>
        </w:tc>
        <w:tc>
          <w:tcPr>
            <w:tcW w:type="dxa" w:w="1084"/>
            <w:vAlign w:val="center"/>
          </w:tcPr>
          <w:p>
            <w:pPr>
              <w:spacing w:after="0" w:before="0" w:line="252" w:lineRule="auto"/>
            </w:pPr>
            <w:r/>
            <w:r>
              <w:rPr>
                <w:rFonts w:ascii="宋体" w:hAnsi="宋体" w:eastAsia="宋体"/>
                <w:sz w:val="17"/>
              </w:rPr>
              <w:t>15</w:t>
            </w:r>
          </w:p>
        </w:tc>
        <w:tc>
          <w:tcPr>
            <w:tcW w:type="dxa" w:w="3796"/>
            <w:vAlign w:val="center"/>
          </w:tcPr>
          <w:p>
            <w:pPr>
              <w:spacing w:after="0" w:before="0" w:line="252" w:lineRule="auto"/>
            </w:pPr>
            <w:r/>
            <w:r>
              <w:rPr>
                <w:rFonts w:ascii="宋体" w:hAnsi="宋体" w:eastAsia="宋体"/>
                <w:sz w:val="17"/>
              </w:rPr>
              <w:t>境外收入、海外准入、渠道和交付服务</w:t>
            </w:r>
          </w:p>
        </w:tc>
        <w:tc>
          <w:tcPr>
            <w:tcW w:type="dxa" w:w="2711"/>
            <w:vAlign w:val="center"/>
          </w:tcPr>
          <w:p>
            <w:pPr>
              <w:spacing w:after="0" w:before="0" w:line="252" w:lineRule="auto"/>
            </w:pPr>
            <w:r/>
            <w:r>
              <w:rPr>
                <w:rFonts w:ascii="宋体" w:hAnsi="宋体" w:eastAsia="宋体"/>
                <w:sz w:val="17"/>
              </w:rPr>
              <w:t>将境外收入直接视为AI收入</w:t>
            </w:r>
          </w:p>
        </w:tc>
      </w:tr>
      <w:tr>
        <w:trPr>
          <w:cantSplit/>
        </w:trPr>
        <w:tc>
          <w:tcPr>
            <w:tcW w:type="dxa" w:w="1988"/>
            <w:vAlign w:val="center"/>
            <w:shd w:fill="EEF3F7"/>
          </w:tcPr>
          <w:p>
            <w:pPr>
              <w:spacing w:after="0" w:before="0" w:line="252" w:lineRule="auto"/>
            </w:pPr>
            <w:r/>
            <w:r>
              <w:rPr>
                <w:rFonts w:ascii="宋体" w:hAnsi="宋体" w:eastAsia="宋体"/>
                <w:sz w:val="17"/>
              </w:rPr>
              <w:t>财务弹性与资本配置</w:t>
            </w:r>
          </w:p>
        </w:tc>
        <w:tc>
          <w:tcPr>
            <w:tcW w:type="dxa" w:w="1084"/>
            <w:vAlign w:val="center"/>
            <w:shd w:fill="EEF3F7"/>
          </w:tcPr>
          <w:p>
            <w:pPr>
              <w:spacing w:after="0" w:before="0" w:line="252" w:lineRule="auto"/>
            </w:pPr>
            <w:r/>
            <w:r>
              <w:rPr>
                <w:rFonts w:ascii="宋体" w:hAnsi="宋体" w:eastAsia="宋体"/>
                <w:sz w:val="17"/>
              </w:rPr>
              <w:t>15</w:t>
            </w:r>
          </w:p>
        </w:tc>
        <w:tc>
          <w:tcPr>
            <w:tcW w:type="dxa" w:w="3796"/>
            <w:vAlign w:val="center"/>
            <w:shd w:fill="EEF3F7"/>
          </w:tcPr>
          <w:p>
            <w:pPr>
              <w:spacing w:after="0" w:before="0" w:line="252" w:lineRule="auto"/>
            </w:pPr>
            <w:r/>
            <w:r>
              <w:rPr>
                <w:rFonts w:ascii="宋体" w:hAnsi="宋体" w:eastAsia="宋体"/>
                <w:sz w:val="17"/>
              </w:rPr>
              <w:t>现金流、负债、研发持续性和资本安排</w:t>
            </w:r>
          </w:p>
        </w:tc>
        <w:tc>
          <w:tcPr>
            <w:tcW w:type="dxa" w:w="2711"/>
            <w:vAlign w:val="center"/>
            <w:shd w:fill="EEF3F7"/>
          </w:tcPr>
          <w:p>
            <w:pPr>
              <w:spacing w:after="0" w:before="0" w:line="252" w:lineRule="auto"/>
            </w:pPr>
            <w:r/>
            <w:r>
              <w:rPr>
                <w:rFonts w:ascii="宋体" w:hAnsi="宋体" w:eastAsia="宋体"/>
                <w:sz w:val="17"/>
              </w:rPr>
              <w:t>收购前后资本结构口径混用</w:t>
            </w:r>
          </w:p>
        </w:tc>
      </w:tr>
      <w:tr>
        <w:trPr>
          <w:cantSplit/>
        </w:trPr>
        <w:tc>
          <w:tcPr>
            <w:tcW w:type="dxa" w:w="1988"/>
            <w:vAlign w:val="center"/>
          </w:tcPr>
          <w:p>
            <w:pPr>
              <w:spacing w:after="0" w:before="0" w:line="252" w:lineRule="auto"/>
            </w:pPr>
            <w:r/>
            <w:r>
              <w:rPr>
                <w:rFonts w:ascii="宋体" w:hAnsi="宋体" w:eastAsia="宋体"/>
                <w:sz w:val="17"/>
              </w:rPr>
              <w:t>规模与再投入能力</w:t>
            </w:r>
          </w:p>
        </w:tc>
        <w:tc>
          <w:tcPr>
            <w:tcW w:type="dxa" w:w="1084"/>
            <w:vAlign w:val="center"/>
          </w:tcPr>
          <w:p>
            <w:pPr>
              <w:spacing w:after="0" w:before="0" w:line="252" w:lineRule="auto"/>
            </w:pPr>
            <w:r/>
            <w:r>
              <w:rPr>
                <w:rFonts w:ascii="宋体" w:hAnsi="宋体" w:eastAsia="宋体"/>
                <w:sz w:val="17"/>
              </w:rPr>
              <w:t>5</w:t>
            </w:r>
          </w:p>
        </w:tc>
        <w:tc>
          <w:tcPr>
            <w:tcW w:type="dxa" w:w="3796"/>
            <w:vAlign w:val="center"/>
          </w:tcPr>
          <w:p>
            <w:pPr>
              <w:spacing w:after="0" w:before="0" w:line="252" w:lineRule="auto"/>
            </w:pPr>
            <w:r/>
            <w:r>
              <w:rPr>
                <w:rFonts w:ascii="宋体" w:hAnsi="宋体" w:eastAsia="宋体"/>
                <w:sz w:val="17"/>
              </w:rPr>
              <w:t>业务规模对研发和服务投入的支持</w:t>
            </w:r>
          </w:p>
        </w:tc>
        <w:tc>
          <w:tcPr>
            <w:tcW w:type="dxa" w:w="2711"/>
            <w:vAlign w:val="center"/>
          </w:tcPr>
          <w:p>
            <w:pPr>
              <w:spacing w:after="0" w:before="0" w:line="252" w:lineRule="auto"/>
            </w:pPr>
            <w:r/>
            <w:r>
              <w:rPr>
                <w:rFonts w:ascii="宋体" w:hAnsi="宋体" w:eastAsia="宋体"/>
                <w:sz w:val="17"/>
              </w:rPr>
              <w:t>以收入规模直接决定医疗AI排名</w:t>
            </w:r>
          </w:p>
        </w:tc>
      </w:tr>
    </w:tbl>
    <w:p>
      <w:pPr>
        <w:spacing w:after="60"/>
      </w:pPr>
    </w:p>
    <w:p>
      <w:pPr>
        <w:spacing w:after="100"/>
        <w:ind w:firstLine="420"/>
      </w:pPr>
      <w:r>
        <w:rPr>
          <w:rFonts w:ascii="宋体" w:hAnsi="宋体" w:eastAsia="宋体"/>
          <w:sz w:val="21"/>
        </w:rPr>
        <w:t>首期样本沿用本报告的七家公司，所有公司按同一资料截止日评分；公开资料覆盖率同步展示，用于说明年报、公告、监管或采购资料是否足以支撑相应分项，不能理解为经营质量或投资价值判断。得分相同的公司按“医疗AI产品与合规进程”分项排序。</w:t>
      </w:r>
    </w:p>
    <w:p>
      <w:pPr>
        <w:spacing w:before="80" w:after="60"/>
        <w:jc w:val="center"/>
      </w:pPr>
      <w:r>
        <w:drawing>
          <wp:inline xmlns:a="http://schemas.openxmlformats.org/drawingml/2006/main" xmlns:pic="http://schemas.openxmlformats.org/drawingml/2006/picture">
            <wp:extent cx="5868000" cy="3954633"/>
            <wp:docPr id="7" name="Picture 7"/>
            <wp:cNvGraphicFramePr>
              <a:graphicFrameLocks noChangeAspect="1"/>
            </wp:cNvGraphicFramePr>
            <a:graphic>
              <a:graphicData uri="http://schemas.openxmlformats.org/drawingml/2006/picture">
                <pic:pic>
                  <pic:nvPicPr>
                    <pic:cNvPr id="0" name="指数_图2_总分与覆盖率.png"/>
                    <pic:cNvPicPr/>
                  </pic:nvPicPr>
                  <pic:blipFill>
                    <a:blip r:embed="rId17"/>
                    <a:stretch>
                      <a:fillRect/>
                    </a:stretch>
                  </pic:blipFill>
                  <pic:spPr>
                    <a:xfrm>
                      <a:off x="0" y="0"/>
                      <a:ext cx="5868000" cy="3954633"/>
                    </a:xfrm>
                    <a:prstGeom prst="rect"/>
                  </pic:spPr>
                </pic:pic>
              </a:graphicData>
            </a:graphic>
          </wp:inline>
        </w:drawing>
      </w:r>
    </w:p>
    <w:p>
      <w:pPr>
        <w:spacing w:after="160"/>
        <w:jc w:val="center"/>
      </w:pPr>
      <w:r>
        <w:rPr>
          <w:rFonts w:ascii="宋体" w:hAnsi="宋体" w:eastAsia="宋体"/>
          <w:i/>
          <w:color w:val="5A646E"/>
          <w:sz w:val="17"/>
        </w:rPr>
        <w:t>图7：七家固定样本公司的医疗AI转型竞争力得分与公开资料覆盖率。覆盖率反映可核查资料的完整程度，不代表企业经营质量。</w:t>
      </w:r>
    </w:p>
    <w:tbl>
      <w:tblPr>
        <w:tblStyle w:val="TableGrid"/>
        <w:tblW w:type="auto" w:w="0"/>
        <w:tblLayout w:type="fixed"/>
        <w:tblLook w:firstColumn="1" w:firstRow="1" w:lastColumn="0" w:lastRow="0" w:noHBand="0" w:noVBand="1" w:val="04A0"/>
      </w:tblPr>
      <w:tblGrid>
        <w:gridCol w:w="2040"/>
        <w:gridCol w:w="2040"/>
        <w:gridCol w:w="2040"/>
        <w:gridCol w:w="2040"/>
        <w:gridCol w:w="2040"/>
      </w:tblGrid>
      <w:tr>
        <w:trPr>
          <w:cantSplit/>
          <w:tblHeader w:val="true"/>
        </w:trPr>
        <w:tc>
          <w:tcPr>
            <w:tcW w:type="dxa" w:w="1402"/>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位次</w:t>
            </w:r>
          </w:p>
        </w:tc>
        <w:tc>
          <w:tcPr>
            <w:tcW w:type="dxa" w:w="1402"/>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公司</w:t>
            </w:r>
          </w:p>
        </w:tc>
        <w:tc>
          <w:tcPr>
            <w:tcW w:type="dxa" w:w="2570"/>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医疗AI转型竞争力得分</w:t>
            </w:r>
          </w:p>
        </w:tc>
        <w:tc>
          <w:tcPr>
            <w:tcW w:type="dxa" w:w="1635"/>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公开资料覆盖率</w:t>
            </w:r>
          </w:p>
        </w:tc>
        <w:tc>
          <w:tcPr>
            <w:tcW w:type="dxa" w:w="2570"/>
            <w:vAlign w:val="center"/>
            <w:shd w:fill="1F4E78"/>
          </w:tcPr>
          <w:p>
            <w:pPr>
              <w:spacing w:after="0" w:before="0" w:line="252" w:lineRule="auto"/>
            </w:pPr>
            <w:r>
              <w:rPr>
                <w:rFonts w:ascii="Microsoft YaHei" w:hAnsi="Microsoft YaHei" w:eastAsia="Microsoft YaHei"/>
                <w:b/>
                <w:color w:val="FFFFFF"/>
                <w:sz w:val="16"/>
              </w:rPr>
            </w:r>
            <w:r>
              <w:rPr>
                <w:rFonts w:ascii="Microsoft YaHei" w:hAnsi="Microsoft YaHei" w:eastAsia="Microsoft YaHei"/>
                <w:b/>
                <w:color w:val="FFFFFF"/>
                <w:sz w:val="16"/>
              </w:rPr>
              <w:t>主要业务入口</w:t>
            </w:r>
          </w:p>
        </w:tc>
      </w:tr>
      <w:tr>
        <w:trPr>
          <w:cantSplit/>
        </w:trPr>
        <w:tc>
          <w:tcPr>
            <w:tcW w:type="dxa" w:w="1402"/>
            <w:vAlign w:val="center"/>
          </w:tcPr>
          <w:p>
            <w:pPr>
              <w:spacing w:after="0" w:before="0" w:line="252" w:lineRule="auto"/>
            </w:pPr>
            <w:r/>
            <w:r>
              <w:rPr>
                <w:rFonts w:ascii="宋体" w:hAnsi="宋体" w:eastAsia="宋体"/>
                <w:sz w:val="16"/>
              </w:rPr>
              <w:t>1</w:t>
            </w:r>
          </w:p>
        </w:tc>
        <w:tc>
          <w:tcPr>
            <w:tcW w:type="dxa" w:w="1402"/>
            <w:vAlign w:val="center"/>
          </w:tcPr>
          <w:p>
            <w:pPr>
              <w:spacing w:after="0" w:before="0" w:line="252" w:lineRule="auto"/>
            </w:pPr>
            <w:r/>
            <w:r>
              <w:rPr>
                <w:rFonts w:ascii="宋体" w:hAnsi="宋体" w:eastAsia="宋体"/>
                <w:sz w:val="16"/>
              </w:rPr>
              <w:t>迈瑞医疗</w:t>
            </w:r>
          </w:p>
        </w:tc>
        <w:tc>
          <w:tcPr>
            <w:tcW w:type="dxa" w:w="2570"/>
            <w:vAlign w:val="center"/>
          </w:tcPr>
          <w:p>
            <w:pPr>
              <w:spacing w:after="0" w:before="0" w:line="252" w:lineRule="auto"/>
            </w:pPr>
            <w:r/>
            <w:r>
              <w:rPr>
                <w:rFonts w:ascii="宋体" w:hAnsi="宋体" w:eastAsia="宋体"/>
                <w:sz w:val="16"/>
              </w:rPr>
              <w:t>80</w:t>
            </w:r>
          </w:p>
        </w:tc>
        <w:tc>
          <w:tcPr>
            <w:tcW w:type="dxa" w:w="1635"/>
            <w:vAlign w:val="center"/>
          </w:tcPr>
          <w:p>
            <w:pPr>
              <w:spacing w:after="0" w:before="0" w:line="252" w:lineRule="auto"/>
            </w:pPr>
            <w:r/>
            <w:r>
              <w:rPr>
                <w:rFonts w:ascii="宋体" w:hAnsi="宋体" w:eastAsia="宋体"/>
                <w:sz w:val="16"/>
              </w:rPr>
              <w:t>86%</w:t>
            </w:r>
          </w:p>
        </w:tc>
        <w:tc>
          <w:tcPr>
            <w:tcW w:type="dxa" w:w="2570"/>
            <w:vAlign w:val="center"/>
          </w:tcPr>
          <w:p>
            <w:pPr>
              <w:spacing w:after="0" w:before="0" w:line="252" w:lineRule="auto"/>
            </w:pPr>
            <w:r/>
            <w:r>
              <w:rPr>
                <w:rFonts w:ascii="宋体" w:hAnsi="宋体" w:eastAsia="宋体"/>
                <w:sz w:val="16"/>
              </w:rPr>
              <w:t>设备内生智能化</w:t>
            </w:r>
          </w:p>
        </w:tc>
      </w:tr>
      <w:tr>
        <w:trPr>
          <w:cantSplit/>
        </w:trPr>
        <w:tc>
          <w:tcPr>
            <w:tcW w:type="dxa" w:w="1402"/>
            <w:vAlign w:val="center"/>
            <w:shd w:fill="EEF3F7"/>
          </w:tcPr>
          <w:p>
            <w:pPr>
              <w:spacing w:after="0" w:before="0" w:line="252" w:lineRule="auto"/>
            </w:pPr>
            <w:r/>
            <w:r>
              <w:rPr>
                <w:rFonts w:ascii="宋体" w:hAnsi="宋体" w:eastAsia="宋体"/>
                <w:sz w:val="16"/>
              </w:rPr>
              <w:t>2</w:t>
            </w:r>
          </w:p>
        </w:tc>
        <w:tc>
          <w:tcPr>
            <w:tcW w:type="dxa" w:w="1402"/>
            <w:vAlign w:val="center"/>
            <w:shd w:fill="EEF3F7"/>
          </w:tcPr>
          <w:p>
            <w:pPr>
              <w:spacing w:after="0" w:before="0" w:line="252" w:lineRule="auto"/>
            </w:pPr>
            <w:r/>
            <w:r>
              <w:rPr>
                <w:rFonts w:ascii="宋体" w:hAnsi="宋体" w:eastAsia="宋体"/>
                <w:sz w:val="16"/>
              </w:rPr>
              <w:t>联影医疗</w:t>
            </w:r>
          </w:p>
        </w:tc>
        <w:tc>
          <w:tcPr>
            <w:tcW w:type="dxa" w:w="2570"/>
            <w:vAlign w:val="center"/>
            <w:shd w:fill="EEF3F7"/>
          </w:tcPr>
          <w:p>
            <w:pPr>
              <w:spacing w:after="0" w:before="0" w:line="252" w:lineRule="auto"/>
            </w:pPr>
            <w:r/>
            <w:r>
              <w:rPr>
                <w:rFonts w:ascii="宋体" w:hAnsi="宋体" w:eastAsia="宋体"/>
                <w:sz w:val="16"/>
              </w:rPr>
              <w:t>74</w:t>
            </w:r>
          </w:p>
        </w:tc>
        <w:tc>
          <w:tcPr>
            <w:tcW w:type="dxa" w:w="1635"/>
            <w:vAlign w:val="center"/>
            <w:shd w:fill="EEF3F7"/>
          </w:tcPr>
          <w:p>
            <w:pPr>
              <w:spacing w:after="0" w:before="0" w:line="252" w:lineRule="auto"/>
            </w:pPr>
            <w:r/>
            <w:r>
              <w:rPr>
                <w:rFonts w:ascii="宋体" w:hAnsi="宋体" w:eastAsia="宋体"/>
                <w:sz w:val="16"/>
              </w:rPr>
              <w:t>84%</w:t>
            </w:r>
          </w:p>
        </w:tc>
        <w:tc>
          <w:tcPr>
            <w:tcW w:type="dxa" w:w="2570"/>
            <w:vAlign w:val="center"/>
            <w:shd w:fill="EEF3F7"/>
          </w:tcPr>
          <w:p>
            <w:pPr>
              <w:spacing w:after="0" w:before="0" w:line="252" w:lineRule="auto"/>
            </w:pPr>
            <w:r/>
            <w:r>
              <w:rPr>
                <w:rFonts w:ascii="宋体" w:hAnsi="宋体" w:eastAsia="宋体"/>
                <w:sz w:val="16"/>
              </w:rPr>
              <w:t>设备内生智能化</w:t>
            </w:r>
          </w:p>
        </w:tc>
      </w:tr>
      <w:tr>
        <w:trPr>
          <w:cantSplit/>
        </w:trPr>
        <w:tc>
          <w:tcPr>
            <w:tcW w:type="dxa" w:w="1402"/>
            <w:vAlign w:val="center"/>
          </w:tcPr>
          <w:p>
            <w:pPr>
              <w:spacing w:after="0" w:before="0" w:line="252" w:lineRule="auto"/>
            </w:pPr>
            <w:r/>
            <w:r>
              <w:rPr>
                <w:rFonts w:ascii="宋体" w:hAnsi="宋体" w:eastAsia="宋体"/>
                <w:sz w:val="16"/>
              </w:rPr>
              <w:t>3</w:t>
            </w:r>
          </w:p>
        </w:tc>
        <w:tc>
          <w:tcPr>
            <w:tcW w:type="dxa" w:w="1402"/>
            <w:vAlign w:val="center"/>
          </w:tcPr>
          <w:p>
            <w:pPr>
              <w:spacing w:after="0" w:before="0" w:line="252" w:lineRule="auto"/>
            </w:pPr>
            <w:r/>
            <w:r>
              <w:rPr>
                <w:rFonts w:ascii="宋体" w:hAnsi="宋体" w:eastAsia="宋体"/>
                <w:sz w:val="16"/>
              </w:rPr>
              <w:t>科大讯飞</w:t>
            </w:r>
          </w:p>
        </w:tc>
        <w:tc>
          <w:tcPr>
            <w:tcW w:type="dxa" w:w="2570"/>
            <w:vAlign w:val="center"/>
          </w:tcPr>
          <w:p>
            <w:pPr>
              <w:spacing w:after="0" w:before="0" w:line="252" w:lineRule="auto"/>
            </w:pPr>
            <w:r/>
            <w:r>
              <w:rPr>
                <w:rFonts w:ascii="宋体" w:hAnsi="宋体" w:eastAsia="宋体"/>
                <w:sz w:val="16"/>
              </w:rPr>
              <w:t>70</w:t>
            </w:r>
          </w:p>
        </w:tc>
        <w:tc>
          <w:tcPr>
            <w:tcW w:type="dxa" w:w="1635"/>
            <w:vAlign w:val="center"/>
          </w:tcPr>
          <w:p>
            <w:pPr>
              <w:spacing w:after="0" w:before="0" w:line="252" w:lineRule="auto"/>
            </w:pPr>
            <w:r/>
            <w:r>
              <w:rPr>
                <w:rFonts w:ascii="宋体" w:hAnsi="宋体" w:eastAsia="宋体"/>
                <w:sz w:val="16"/>
              </w:rPr>
              <w:t>90%</w:t>
            </w:r>
          </w:p>
        </w:tc>
        <w:tc>
          <w:tcPr>
            <w:tcW w:type="dxa" w:w="2570"/>
            <w:vAlign w:val="center"/>
          </w:tcPr>
          <w:p>
            <w:pPr>
              <w:spacing w:after="0" w:before="0" w:line="252" w:lineRule="auto"/>
            </w:pPr>
            <w:r/>
            <w:r>
              <w:rPr>
                <w:rFonts w:ascii="宋体" w:hAnsi="宋体" w:eastAsia="宋体"/>
                <w:sz w:val="16"/>
              </w:rPr>
              <w:t>通用AI医疗应用</w:t>
            </w:r>
          </w:p>
        </w:tc>
      </w:tr>
      <w:tr>
        <w:trPr>
          <w:cantSplit/>
        </w:trPr>
        <w:tc>
          <w:tcPr>
            <w:tcW w:type="dxa" w:w="1402"/>
            <w:vAlign w:val="center"/>
            <w:shd w:fill="EEF3F7"/>
          </w:tcPr>
          <w:p>
            <w:pPr>
              <w:spacing w:after="0" w:before="0" w:line="252" w:lineRule="auto"/>
            </w:pPr>
            <w:r/>
            <w:r>
              <w:rPr>
                <w:rFonts w:ascii="宋体" w:hAnsi="宋体" w:eastAsia="宋体"/>
                <w:sz w:val="16"/>
              </w:rPr>
              <w:t>4</w:t>
            </w:r>
          </w:p>
        </w:tc>
        <w:tc>
          <w:tcPr>
            <w:tcW w:type="dxa" w:w="1402"/>
            <w:vAlign w:val="center"/>
            <w:shd w:fill="EEF3F7"/>
          </w:tcPr>
          <w:p>
            <w:pPr>
              <w:spacing w:after="0" w:before="0" w:line="252" w:lineRule="auto"/>
            </w:pPr>
            <w:r/>
            <w:r>
              <w:rPr>
                <w:rFonts w:ascii="宋体" w:hAnsi="宋体" w:eastAsia="宋体"/>
                <w:sz w:val="16"/>
              </w:rPr>
              <w:t>鹰瞳科技</w:t>
            </w:r>
          </w:p>
        </w:tc>
        <w:tc>
          <w:tcPr>
            <w:tcW w:type="dxa" w:w="2570"/>
            <w:vAlign w:val="center"/>
            <w:shd w:fill="EEF3F7"/>
          </w:tcPr>
          <w:p>
            <w:pPr>
              <w:spacing w:after="0" w:before="0" w:line="252" w:lineRule="auto"/>
            </w:pPr>
            <w:r/>
            <w:r>
              <w:rPr>
                <w:rFonts w:ascii="宋体" w:hAnsi="宋体" w:eastAsia="宋体"/>
                <w:sz w:val="16"/>
              </w:rPr>
              <w:t>59</w:t>
            </w:r>
          </w:p>
        </w:tc>
        <w:tc>
          <w:tcPr>
            <w:tcW w:type="dxa" w:w="1635"/>
            <w:vAlign w:val="center"/>
            <w:shd w:fill="EEF3F7"/>
          </w:tcPr>
          <w:p>
            <w:pPr>
              <w:spacing w:after="0" w:before="0" w:line="252" w:lineRule="auto"/>
            </w:pPr>
            <w:r/>
            <w:r>
              <w:rPr>
                <w:rFonts w:ascii="宋体" w:hAnsi="宋体" w:eastAsia="宋体"/>
                <w:sz w:val="16"/>
              </w:rPr>
              <w:t>88%</w:t>
            </w:r>
          </w:p>
        </w:tc>
        <w:tc>
          <w:tcPr>
            <w:tcW w:type="dxa" w:w="2570"/>
            <w:vAlign w:val="center"/>
            <w:shd w:fill="EEF3F7"/>
          </w:tcPr>
          <w:p>
            <w:pPr>
              <w:spacing w:after="0" w:before="0" w:line="252" w:lineRule="auto"/>
            </w:pPr>
            <w:r/>
            <w:r>
              <w:rPr>
                <w:rFonts w:ascii="宋体" w:hAnsi="宋体" w:eastAsia="宋体"/>
                <w:sz w:val="16"/>
              </w:rPr>
              <w:t>专用医疗AI软件</w:t>
            </w:r>
          </w:p>
        </w:tc>
      </w:tr>
      <w:tr>
        <w:trPr>
          <w:cantSplit/>
        </w:trPr>
        <w:tc>
          <w:tcPr>
            <w:tcW w:type="dxa" w:w="1402"/>
            <w:vAlign w:val="center"/>
          </w:tcPr>
          <w:p>
            <w:pPr>
              <w:spacing w:after="0" w:before="0" w:line="252" w:lineRule="auto"/>
            </w:pPr>
            <w:r/>
            <w:r>
              <w:rPr>
                <w:rFonts w:ascii="宋体" w:hAnsi="宋体" w:eastAsia="宋体"/>
                <w:sz w:val="16"/>
              </w:rPr>
              <w:t>5</w:t>
            </w:r>
          </w:p>
        </w:tc>
        <w:tc>
          <w:tcPr>
            <w:tcW w:type="dxa" w:w="1402"/>
            <w:vAlign w:val="center"/>
          </w:tcPr>
          <w:p>
            <w:pPr>
              <w:spacing w:after="0" w:before="0" w:line="252" w:lineRule="auto"/>
            </w:pPr>
            <w:r/>
            <w:r>
              <w:rPr>
                <w:rFonts w:ascii="宋体" w:hAnsi="宋体" w:eastAsia="宋体"/>
                <w:sz w:val="16"/>
              </w:rPr>
              <w:t>康众医疗</w:t>
            </w:r>
          </w:p>
        </w:tc>
        <w:tc>
          <w:tcPr>
            <w:tcW w:type="dxa" w:w="2570"/>
            <w:vAlign w:val="center"/>
          </w:tcPr>
          <w:p>
            <w:pPr>
              <w:spacing w:after="0" w:before="0" w:line="252" w:lineRule="auto"/>
            </w:pPr>
            <w:r/>
            <w:r>
              <w:rPr>
                <w:rFonts w:ascii="宋体" w:hAnsi="宋体" w:eastAsia="宋体"/>
                <w:sz w:val="16"/>
              </w:rPr>
              <w:t>59</w:t>
            </w:r>
          </w:p>
        </w:tc>
        <w:tc>
          <w:tcPr>
            <w:tcW w:type="dxa" w:w="1635"/>
            <w:vAlign w:val="center"/>
          </w:tcPr>
          <w:p>
            <w:pPr>
              <w:spacing w:after="0" w:before="0" w:line="252" w:lineRule="auto"/>
            </w:pPr>
            <w:r/>
            <w:r>
              <w:rPr>
                <w:rFonts w:ascii="宋体" w:hAnsi="宋体" w:eastAsia="宋体"/>
                <w:sz w:val="16"/>
              </w:rPr>
              <w:t>80%</w:t>
            </w:r>
          </w:p>
        </w:tc>
        <w:tc>
          <w:tcPr>
            <w:tcW w:type="dxa" w:w="2570"/>
            <w:vAlign w:val="center"/>
          </w:tcPr>
          <w:p>
            <w:pPr>
              <w:spacing w:after="0" w:before="0" w:line="252" w:lineRule="auto"/>
            </w:pPr>
            <w:r/>
            <w:r>
              <w:rPr>
                <w:rFonts w:ascii="宋体" w:hAnsi="宋体" w:eastAsia="宋体"/>
                <w:sz w:val="16"/>
              </w:rPr>
              <w:t>影像采集向智能影像延展</w:t>
            </w:r>
          </w:p>
        </w:tc>
      </w:tr>
      <w:tr>
        <w:trPr>
          <w:cantSplit/>
        </w:trPr>
        <w:tc>
          <w:tcPr>
            <w:tcW w:type="dxa" w:w="1402"/>
            <w:vAlign w:val="center"/>
            <w:shd w:fill="EEF3F7"/>
          </w:tcPr>
          <w:p>
            <w:pPr>
              <w:spacing w:after="0" w:before="0" w:line="252" w:lineRule="auto"/>
            </w:pPr>
            <w:r/>
            <w:r>
              <w:rPr>
                <w:rFonts w:ascii="宋体" w:hAnsi="宋体" w:eastAsia="宋体"/>
                <w:sz w:val="16"/>
              </w:rPr>
              <w:t>6</w:t>
            </w:r>
          </w:p>
        </w:tc>
        <w:tc>
          <w:tcPr>
            <w:tcW w:type="dxa" w:w="1402"/>
            <w:vAlign w:val="center"/>
            <w:shd w:fill="EEF3F7"/>
          </w:tcPr>
          <w:p>
            <w:pPr>
              <w:spacing w:after="0" w:before="0" w:line="252" w:lineRule="auto"/>
            </w:pPr>
            <w:r/>
            <w:r>
              <w:rPr>
                <w:rFonts w:ascii="宋体" w:hAnsi="宋体" w:eastAsia="宋体"/>
                <w:sz w:val="16"/>
              </w:rPr>
              <w:t>奕瑞科技</w:t>
            </w:r>
          </w:p>
        </w:tc>
        <w:tc>
          <w:tcPr>
            <w:tcW w:type="dxa" w:w="2570"/>
            <w:vAlign w:val="center"/>
            <w:shd w:fill="EEF3F7"/>
          </w:tcPr>
          <w:p>
            <w:pPr>
              <w:spacing w:after="0" w:before="0" w:line="252" w:lineRule="auto"/>
            </w:pPr>
            <w:r/>
            <w:r>
              <w:rPr>
                <w:rFonts w:ascii="宋体" w:hAnsi="宋体" w:eastAsia="宋体"/>
                <w:sz w:val="16"/>
              </w:rPr>
              <w:t>49</w:t>
            </w:r>
          </w:p>
        </w:tc>
        <w:tc>
          <w:tcPr>
            <w:tcW w:type="dxa" w:w="1635"/>
            <w:vAlign w:val="center"/>
            <w:shd w:fill="EEF3F7"/>
          </w:tcPr>
          <w:p>
            <w:pPr>
              <w:spacing w:after="0" w:before="0" w:line="252" w:lineRule="auto"/>
            </w:pPr>
            <w:r/>
            <w:r>
              <w:rPr>
                <w:rFonts w:ascii="宋体" w:hAnsi="宋体" w:eastAsia="宋体"/>
                <w:sz w:val="16"/>
              </w:rPr>
              <w:t>78%</w:t>
            </w:r>
          </w:p>
        </w:tc>
        <w:tc>
          <w:tcPr>
            <w:tcW w:type="dxa" w:w="2570"/>
            <w:vAlign w:val="center"/>
            <w:shd w:fill="EEF3F7"/>
          </w:tcPr>
          <w:p>
            <w:pPr>
              <w:spacing w:after="0" w:before="0" w:line="252" w:lineRule="auto"/>
            </w:pPr>
            <w:r/>
            <w:r>
              <w:rPr>
                <w:rFonts w:ascii="宋体" w:hAnsi="宋体" w:eastAsia="宋体"/>
                <w:sz w:val="16"/>
              </w:rPr>
              <w:t>影像采集与系统延展</w:t>
            </w:r>
          </w:p>
        </w:tc>
      </w:tr>
      <w:tr>
        <w:trPr>
          <w:cantSplit/>
        </w:trPr>
        <w:tc>
          <w:tcPr>
            <w:tcW w:type="dxa" w:w="1402"/>
            <w:vAlign w:val="center"/>
          </w:tcPr>
          <w:p>
            <w:pPr>
              <w:spacing w:after="0" w:before="0" w:line="252" w:lineRule="auto"/>
            </w:pPr>
            <w:r/>
            <w:r>
              <w:rPr>
                <w:rFonts w:ascii="宋体" w:hAnsi="宋体" w:eastAsia="宋体"/>
                <w:sz w:val="16"/>
              </w:rPr>
              <w:t>7</w:t>
            </w:r>
          </w:p>
        </w:tc>
        <w:tc>
          <w:tcPr>
            <w:tcW w:type="dxa" w:w="1402"/>
            <w:vAlign w:val="center"/>
          </w:tcPr>
          <w:p>
            <w:pPr>
              <w:spacing w:after="0" w:before="0" w:line="252" w:lineRule="auto"/>
            </w:pPr>
            <w:r/>
            <w:r>
              <w:rPr>
                <w:rFonts w:ascii="宋体" w:hAnsi="宋体" w:eastAsia="宋体"/>
                <w:sz w:val="16"/>
              </w:rPr>
              <w:t>卫宁健康</w:t>
            </w:r>
          </w:p>
        </w:tc>
        <w:tc>
          <w:tcPr>
            <w:tcW w:type="dxa" w:w="2570"/>
            <w:vAlign w:val="center"/>
          </w:tcPr>
          <w:p>
            <w:pPr>
              <w:spacing w:after="0" w:before="0" w:line="252" w:lineRule="auto"/>
            </w:pPr>
            <w:r/>
            <w:r>
              <w:rPr>
                <w:rFonts w:ascii="宋体" w:hAnsi="宋体" w:eastAsia="宋体"/>
                <w:sz w:val="16"/>
              </w:rPr>
              <w:t>47</w:t>
            </w:r>
          </w:p>
        </w:tc>
        <w:tc>
          <w:tcPr>
            <w:tcW w:type="dxa" w:w="1635"/>
            <w:vAlign w:val="center"/>
          </w:tcPr>
          <w:p>
            <w:pPr>
              <w:spacing w:after="0" w:before="0" w:line="252" w:lineRule="auto"/>
            </w:pPr>
            <w:r/>
            <w:r>
              <w:rPr>
                <w:rFonts w:ascii="宋体" w:hAnsi="宋体" w:eastAsia="宋体"/>
                <w:sz w:val="16"/>
              </w:rPr>
              <w:t>86%</w:t>
            </w:r>
          </w:p>
        </w:tc>
        <w:tc>
          <w:tcPr>
            <w:tcW w:type="dxa" w:w="2570"/>
            <w:vAlign w:val="center"/>
          </w:tcPr>
          <w:p>
            <w:pPr>
              <w:spacing w:after="0" w:before="0" w:line="252" w:lineRule="auto"/>
            </w:pPr>
            <w:r/>
            <w:r>
              <w:rPr>
                <w:rFonts w:ascii="宋体" w:hAnsi="宋体" w:eastAsia="宋体"/>
                <w:sz w:val="16"/>
              </w:rPr>
              <w:t>医疗信息化与智能助手</w:t>
            </w:r>
          </w:p>
        </w:tc>
      </w:tr>
    </w:tbl>
    <w:p>
      <w:pPr>
        <w:spacing w:after="60"/>
      </w:pPr>
    </w:p>
    <w:p>
      <w:pPr>
        <w:spacing w:after="100"/>
        <w:ind w:firstLine="420"/>
      </w:pPr>
      <w:r>
        <w:rPr>
          <w:rFonts w:ascii="宋体" w:hAnsi="宋体" w:eastAsia="宋体"/>
          <w:sz w:val="21"/>
        </w:rPr>
        <w:t>从分项看，设备内生智能化路径通常在产品覆盖、工程交付和服务体系上具备基础；专用医疗AI软件更容易形成可识别的产品收入和注册信息；影像采集与系统延展路径则更依赖成像基础、客户渠道、新产品销售和并表后的整合效果。康众医疗和奕瑞科技均属于后一路径，二者均不应将探测器及核心部件收入直接计为AI收入。</w:t>
      </w:r>
    </w:p>
    <w:p>
      <w:pPr>
        <w:spacing w:before="80" w:after="60"/>
        <w:jc w:val="center"/>
      </w:pPr>
      <w:r>
        <w:drawing>
          <wp:inline xmlns:a="http://schemas.openxmlformats.org/drawingml/2006/main" xmlns:pic="http://schemas.openxmlformats.org/drawingml/2006/picture">
            <wp:extent cx="5868000" cy="3312581"/>
            <wp:docPr id="8" name="Picture 8"/>
            <wp:cNvGraphicFramePr>
              <a:graphicFrameLocks noChangeAspect="1"/>
            </wp:cNvGraphicFramePr>
            <a:graphic>
              <a:graphicData uri="http://schemas.openxmlformats.org/drawingml/2006/picture">
                <pic:pic>
                  <pic:nvPicPr>
                    <pic:cNvPr id="0" name="指数_图3_分项得分矩阵.png"/>
                    <pic:cNvPicPr/>
                  </pic:nvPicPr>
                  <pic:blipFill>
                    <a:blip r:embed="rId18"/>
                    <a:stretch>
                      <a:fillRect/>
                    </a:stretch>
                  </pic:blipFill>
                  <pic:spPr>
                    <a:xfrm>
                      <a:off x="0" y="0"/>
                      <a:ext cx="5868000" cy="3312581"/>
                    </a:xfrm>
                    <a:prstGeom prst="rect"/>
                  </pic:spPr>
                </pic:pic>
              </a:graphicData>
            </a:graphic>
          </wp:inline>
        </w:drawing>
      </w:r>
    </w:p>
    <w:p>
      <w:pPr>
        <w:spacing w:after="160"/>
        <w:jc w:val="center"/>
      </w:pPr>
      <w:r>
        <w:rPr>
          <w:rFonts w:ascii="宋体" w:hAnsi="宋体" w:eastAsia="宋体"/>
          <w:i/>
          <w:color w:val="5A646E"/>
          <w:sz w:val="17"/>
        </w:rPr>
        <w:t>图8：七家公司分项得分矩阵。颜色深浅表示各公司在相应维度的得分占该维度满分的比例，不同列满分不同。</w:t>
      </w:r>
    </w:p>
    <w:p>
      <w:pPr>
        <w:spacing w:after="100"/>
        <w:ind w:firstLine="420"/>
      </w:pPr>
      <w:r>
        <w:rPr>
          <w:rFonts w:ascii="宋体" w:hAnsi="宋体" w:eastAsia="宋体"/>
          <w:sz w:val="21"/>
        </w:rPr>
        <w:t>专用医疗AI软件的比较重点为产品收入和注册进度；通用AI医疗应用重点为医疗业务收入、基层工作流和机构使用；医疗信息化企业重点为软件服务、项目验收、续费和现金回收。设备内生智能化路径宜考察产品矩阵、模块渗透、服务收入与海外准入；影像采集与系统延展路径宜考察成像基础、新产品销售、客户结构和整合后的经营贡献。</w:t>
      </w:r>
    </w:p>
    <w:p>
      <w:pPr>
        <w:spacing w:after="100"/>
        <w:ind w:firstLine="420"/>
      </w:pPr>
      <w:r>
        <w:rPr>
          <w:rFonts w:ascii="宋体" w:hAnsi="宋体" w:eastAsia="宋体"/>
          <w:sz w:val="21"/>
        </w:rPr>
        <w:t>医疗AI竞争力还取决于产品能否进入医院的实际工作流。横轴汇总产品与工作流得分，纵轴汇总转型执行、国际化与财务弹性得分。不同业务入口在这一矩阵中的位置，反映的是可公开核查的组合条件，而非临床性能、市场份额或投资价值。[19]</w:t>
      </w:r>
    </w:p>
    <w:p>
      <w:pPr>
        <w:spacing w:before="80" w:after="60"/>
        <w:jc w:val="center"/>
      </w:pPr>
      <w:r>
        <w:drawing>
          <wp:inline xmlns:a="http://schemas.openxmlformats.org/drawingml/2006/main" xmlns:pic="http://schemas.openxmlformats.org/drawingml/2006/picture">
            <wp:extent cx="5868000" cy="3580792"/>
            <wp:docPr id="9" name="Picture 9"/>
            <wp:cNvGraphicFramePr>
              <a:graphicFrameLocks noChangeAspect="1"/>
            </wp:cNvGraphicFramePr>
            <a:graphic>
              <a:graphicData uri="http://schemas.openxmlformats.org/drawingml/2006/picture">
                <pic:pic>
                  <pic:nvPicPr>
                    <pic:cNvPr id="0" name="指数_图4_产品落地与转型条件矩阵.png"/>
                    <pic:cNvPicPr/>
                  </pic:nvPicPr>
                  <pic:blipFill>
                    <a:blip r:embed="rId19"/>
                    <a:stretch>
                      <a:fillRect/>
                    </a:stretch>
                  </pic:blipFill>
                  <pic:spPr>
                    <a:xfrm>
                      <a:off x="0" y="0"/>
                      <a:ext cx="5868000" cy="3580792"/>
                    </a:xfrm>
                    <a:prstGeom prst="rect"/>
                  </pic:spPr>
                </pic:pic>
              </a:graphicData>
            </a:graphic>
          </wp:inline>
        </w:drawing>
      </w:r>
    </w:p>
    <w:p>
      <w:pPr>
        <w:spacing w:after="160"/>
        <w:jc w:val="center"/>
      </w:pPr>
      <w:r>
        <w:rPr>
          <w:rFonts w:ascii="宋体" w:hAnsi="宋体" w:eastAsia="宋体"/>
          <w:i/>
          <w:color w:val="5A646E"/>
          <w:sz w:val="17"/>
        </w:rPr>
        <w:t>图9：产品落地与转型条件矩阵。设备、软件和影像采集企业以不同颜色表示业务入口。</w:t>
      </w:r>
    </w:p>
    <w:tbl>
      <w:tblPr>
        <w:tblStyle w:val="TableGrid"/>
        <w:tblW w:type="auto" w:w="0"/>
        <w:tblLayout w:type="fixed"/>
        <w:tblLook w:firstColumn="1" w:firstRow="1" w:lastColumn="0" w:lastRow="0" w:noHBand="0" w:noVBand="1" w:val="04A0"/>
      </w:tblPr>
      <w:tblGrid>
        <w:gridCol w:w="3400"/>
        <w:gridCol w:w="3400"/>
        <w:gridCol w:w="3400"/>
      </w:tblGrid>
      <w:tr>
        <w:trPr>
          <w:cantSplit/>
          <w:tblHeader w:val="true"/>
        </w:trPr>
        <w:tc>
          <w:tcPr>
            <w:tcW w:type="dxa" w:w="2737"/>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比较问题</w:t>
            </w:r>
          </w:p>
        </w:tc>
        <w:tc>
          <w:tcPr>
            <w:tcW w:type="dxa" w:w="4106"/>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应优先使用的公开资料</w:t>
            </w:r>
          </w:p>
        </w:tc>
        <w:tc>
          <w:tcPr>
            <w:tcW w:type="dxa" w:w="2737"/>
            <w:vAlign w:val="center"/>
            <w:shd w:fill="1F4E78"/>
          </w:tcPr>
          <w:p>
            <w:pPr>
              <w:spacing w:after="0" w:before="0" w:line="252" w:lineRule="auto"/>
            </w:pPr>
            <w:r>
              <w:rPr>
                <w:rFonts w:ascii="Microsoft YaHei" w:hAnsi="Microsoft YaHei" w:eastAsia="Microsoft YaHei"/>
                <w:b/>
                <w:color w:val="FFFFFF"/>
                <w:sz w:val="17"/>
              </w:rPr>
            </w:r>
            <w:r>
              <w:rPr>
                <w:rFonts w:ascii="Microsoft YaHei" w:hAnsi="Microsoft YaHei" w:eastAsia="Microsoft YaHei"/>
                <w:b/>
                <w:color w:val="FFFFFF"/>
                <w:sz w:val="17"/>
              </w:rPr>
              <w:t>不应混同的资料</w:t>
            </w:r>
          </w:p>
        </w:tc>
      </w:tr>
      <w:tr>
        <w:trPr>
          <w:cantSplit/>
        </w:trPr>
        <w:tc>
          <w:tcPr>
            <w:tcW w:type="dxa" w:w="2737"/>
            <w:vAlign w:val="center"/>
          </w:tcPr>
          <w:p>
            <w:pPr>
              <w:spacing w:after="0" w:before="0" w:line="252" w:lineRule="auto"/>
            </w:pPr>
            <w:r/>
            <w:r>
              <w:rPr>
                <w:rFonts w:ascii="宋体" w:hAnsi="宋体" w:eastAsia="宋体"/>
                <w:sz w:val="17"/>
              </w:rPr>
              <w:t>产品是否可以进入临床场景</w:t>
            </w:r>
          </w:p>
        </w:tc>
        <w:tc>
          <w:tcPr>
            <w:tcW w:type="dxa" w:w="4106"/>
            <w:vAlign w:val="center"/>
          </w:tcPr>
          <w:p>
            <w:pPr>
              <w:spacing w:after="0" w:before="0" w:line="252" w:lineRule="auto"/>
            </w:pPr>
            <w:r/>
            <w:r>
              <w:rPr>
                <w:rFonts w:ascii="宋体" w:hAnsi="宋体" w:eastAsia="宋体"/>
                <w:sz w:val="17"/>
              </w:rPr>
              <w:t>注册信息、预期用途、设备适配说明</w:t>
            </w:r>
          </w:p>
        </w:tc>
        <w:tc>
          <w:tcPr>
            <w:tcW w:type="dxa" w:w="2737"/>
            <w:vAlign w:val="center"/>
          </w:tcPr>
          <w:p>
            <w:pPr>
              <w:spacing w:after="0" w:before="0" w:line="252" w:lineRule="auto"/>
            </w:pPr>
            <w:r/>
            <w:r>
              <w:rPr>
                <w:rFonts w:ascii="宋体" w:hAnsi="宋体" w:eastAsia="宋体"/>
                <w:sz w:val="17"/>
              </w:rPr>
              <w:t>论文准确率、产品演示</w:t>
            </w:r>
          </w:p>
        </w:tc>
      </w:tr>
      <w:tr>
        <w:trPr>
          <w:cantSplit/>
        </w:trPr>
        <w:tc>
          <w:tcPr>
            <w:tcW w:type="dxa" w:w="2737"/>
            <w:vAlign w:val="center"/>
            <w:shd w:fill="EEF3F7"/>
          </w:tcPr>
          <w:p>
            <w:pPr>
              <w:spacing w:after="0" w:before="0" w:line="252" w:lineRule="auto"/>
            </w:pPr>
            <w:r/>
            <w:r>
              <w:rPr>
                <w:rFonts w:ascii="宋体" w:hAnsi="宋体" w:eastAsia="宋体"/>
                <w:sz w:val="17"/>
              </w:rPr>
              <w:t>医疗机构是否持续使用</w:t>
            </w:r>
          </w:p>
        </w:tc>
        <w:tc>
          <w:tcPr>
            <w:tcW w:type="dxa" w:w="4106"/>
            <w:vAlign w:val="center"/>
            <w:shd w:fill="EEF3F7"/>
          </w:tcPr>
          <w:p>
            <w:pPr>
              <w:spacing w:after="0" w:before="0" w:line="252" w:lineRule="auto"/>
            </w:pPr>
            <w:r/>
            <w:r>
              <w:rPr>
                <w:rFonts w:ascii="宋体" w:hAnsi="宋体" w:eastAsia="宋体"/>
                <w:sz w:val="17"/>
              </w:rPr>
              <w:t>交付、验收、续费、活跃使用或服务收入</w:t>
            </w:r>
          </w:p>
        </w:tc>
        <w:tc>
          <w:tcPr>
            <w:tcW w:type="dxa" w:w="2737"/>
            <w:vAlign w:val="center"/>
            <w:shd w:fill="EEF3F7"/>
          </w:tcPr>
          <w:p>
            <w:pPr>
              <w:spacing w:after="0" w:before="0" w:line="252" w:lineRule="auto"/>
            </w:pPr>
            <w:r/>
            <w:r>
              <w:rPr>
                <w:rFonts w:ascii="宋体" w:hAnsi="宋体" w:eastAsia="宋体"/>
                <w:sz w:val="17"/>
              </w:rPr>
              <w:t>单次采购、中标公告</w:t>
            </w:r>
          </w:p>
        </w:tc>
      </w:tr>
      <w:tr>
        <w:trPr>
          <w:cantSplit/>
        </w:trPr>
        <w:tc>
          <w:tcPr>
            <w:tcW w:type="dxa" w:w="2737"/>
            <w:vAlign w:val="center"/>
          </w:tcPr>
          <w:p>
            <w:pPr>
              <w:spacing w:after="0" w:before="0" w:line="252" w:lineRule="auto"/>
            </w:pPr>
            <w:r/>
            <w:r>
              <w:rPr>
                <w:rFonts w:ascii="宋体" w:hAnsi="宋体" w:eastAsia="宋体"/>
                <w:sz w:val="17"/>
              </w:rPr>
              <w:t>转型是否进入上市公司经营体系</w:t>
            </w:r>
          </w:p>
        </w:tc>
        <w:tc>
          <w:tcPr>
            <w:tcW w:type="dxa" w:w="4106"/>
            <w:vAlign w:val="center"/>
          </w:tcPr>
          <w:p>
            <w:pPr>
              <w:spacing w:after="0" w:before="0" w:line="252" w:lineRule="auto"/>
            </w:pPr>
            <w:r/>
            <w:r>
              <w:rPr>
                <w:rFonts w:ascii="宋体" w:hAnsi="宋体" w:eastAsia="宋体"/>
                <w:sz w:val="17"/>
              </w:rPr>
              <w:t>控制权、并表时点、产品与组织调整、合并报表</w:t>
            </w:r>
          </w:p>
        </w:tc>
        <w:tc>
          <w:tcPr>
            <w:tcW w:type="dxa" w:w="2737"/>
            <w:vAlign w:val="center"/>
          </w:tcPr>
          <w:p>
            <w:pPr>
              <w:spacing w:after="0" w:before="0" w:line="252" w:lineRule="auto"/>
            </w:pPr>
            <w:r/>
            <w:r>
              <w:rPr>
                <w:rFonts w:ascii="宋体" w:hAnsi="宋体" w:eastAsia="宋体"/>
                <w:sz w:val="17"/>
              </w:rPr>
              <w:t>收购公告、交易目标</w:t>
            </w:r>
          </w:p>
        </w:tc>
      </w:tr>
      <w:tr>
        <w:trPr>
          <w:cantSplit/>
        </w:trPr>
        <w:tc>
          <w:tcPr>
            <w:tcW w:type="dxa" w:w="2737"/>
            <w:vAlign w:val="center"/>
            <w:shd w:fill="EEF3F7"/>
          </w:tcPr>
          <w:p>
            <w:pPr>
              <w:spacing w:after="0" w:before="0" w:line="252" w:lineRule="auto"/>
            </w:pPr>
            <w:r/>
            <w:r>
              <w:rPr>
                <w:rFonts w:ascii="宋体" w:hAnsi="宋体" w:eastAsia="宋体"/>
                <w:sz w:val="17"/>
              </w:rPr>
              <w:t>海外渠道是否可支持产品延展</w:t>
            </w:r>
          </w:p>
        </w:tc>
        <w:tc>
          <w:tcPr>
            <w:tcW w:type="dxa" w:w="4106"/>
            <w:vAlign w:val="center"/>
            <w:shd w:fill="EEF3F7"/>
          </w:tcPr>
          <w:p>
            <w:pPr>
              <w:spacing w:after="0" w:before="0" w:line="252" w:lineRule="auto"/>
            </w:pPr>
            <w:r/>
            <w:r>
              <w:rPr>
                <w:rFonts w:ascii="宋体" w:hAnsi="宋体" w:eastAsia="宋体"/>
                <w:sz w:val="17"/>
              </w:rPr>
              <w:t>境外收入、海外注册、渠道和售后服务披露</w:t>
            </w:r>
          </w:p>
        </w:tc>
        <w:tc>
          <w:tcPr>
            <w:tcW w:type="dxa" w:w="2737"/>
            <w:vAlign w:val="center"/>
            <w:shd w:fill="EEF3F7"/>
          </w:tcPr>
          <w:p>
            <w:pPr>
              <w:spacing w:after="0" w:before="0" w:line="252" w:lineRule="auto"/>
            </w:pPr>
            <w:r/>
            <w:r>
              <w:rPr>
                <w:rFonts w:ascii="宋体" w:hAnsi="宋体" w:eastAsia="宋体"/>
                <w:sz w:val="17"/>
              </w:rPr>
              <w:t>将境外业务自动认定为AI业务</w:t>
            </w:r>
          </w:p>
        </w:tc>
      </w:tr>
      <w:tr>
        <w:trPr>
          <w:cantSplit/>
        </w:trPr>
        <w:tc>
          <w:tcPr>
            <w:tcW w:type="dxa" w:w="2737"/>
            <w:vAlign w:val="center"/>
          </w:tcPr>
          <w:p>
            <w:pPr>
              <w:spacing w:after="0" w:before="0" w:line="252" w:lineRule="auto"/>
            </w:pPr>
            <w:r/>
            <w:r>
              <w:rPr>
                <w:rFonts w:ascii="宋体" w:hAnsi="宋体" w:eastAsia="宋体"/>
                <w:sz w:val="17"/>
              </w:rPr>
              <w:t>财务是否支持持续投入</w:t>
            </w:r>
          </w:p>
        </w:tc>
        <w:tc>
          <w:tcPr>
            <w:tcW w:type="dxa" w:w="4106"/>
            <w:vAlign w:val="center"/>
          </w:tcPr>
          <w:p>
            <w:pPr>
              <w:spacing w:after="0" w:before="0" w:line="252" w:lineRule="auto"/>
            </w:pPr>
            <w:r/>
            <w:r>
              <w:rPr>
                <w:rFonts w:ascii="宋体" w:hAnsi="宋体" w:eastAsia="宋体"/>
                <w:sz w:val="17"/>
              </w:rPr>
              <w:t>现金流、债务、研发、商誉和无形资产变化</w:t>
            </w:r>
          </w:p>
        </w:tc>
        <w:tc>
          <w:tcPr>
            <w:tcW w:type="dxa" w:w="2737"/>
            <w:vAlign w:val="center"/>
          </w:tcPr>
          <w:p>
            <w:pPr>
              <w:spacing w:after="0" w:before="0" w:line="252" w:lineRule="auto"/>
            </w:pPr>
            <w:r/>
            <w:r>
              <w:rPr>
                <w:rFonts w:ascii="宋体" w:hAnsi="宋体" w:eastAsia="宋体"/>
                <w:sz w:val="17"/>
              </w:rPr>
              <w:t>单一时点的低资产负债率</w:t>
            </w:r>
          </w:p>
        </w:tc>
      </w:tr>
    </w:tbl>
    <w:p>
      <w:pPr>
        <w:spacing w:after="60"/>
      </w:pPr>
    </w:p>
    <w:p>
      <w:pPr>
        <w:spacing w:after="100"/>
        <w:ind w:firstLine="420"/>
      </w:pPr>
      <w:r>
        <w:rPr>
          <w:rFonts w:ascii="宋体" w:hAnsi="宋体" w:eastAsia="宋体"/>
          <w:sz w:val="21"/>
        </w:rPr>
        <w:t>2025年营业收入采用各公司合并口径，与指数得分相关但不构成线性关系。设备企业的业务规模支持研发和服务投入；具备明确AI产品收入或受监管产品的专用软件公司，可在产品与合规维度获得较高得分。规模权重限定为5分，避免将固定样本比较简化为营业收入排序。</w:t>
      </w:r>
    </w:p>
    <w:p>
      <w:pPr>
        <w:spacing w:before="80" w:after="60"/>
        <w:jc w:val="center"/>
      </w:pPr>
      <w:r>
        <w:drawing>
          <wp:inline xmlns:a="http://schemas.openxmlformats.org/drawingml/2006/main" xmlns:pic="http://schemas.openxmlformats.org/drawingml/2006/picture">
            <wp:extent cx="5868000" cy="3989825"/>
            <wp:docPr id="10" name="Picture 10"/>
            <wp:cNvGraphicFramePr>
              <a:graphicFrameLocks noChangeAspect="1"/>
            </wp:cNvGraphicFramePr>
            <a:graphic>
              <a:graphicData uri="http://schemas.openxmlformats.org/drawingml/2006/picture">
                <pic:pic>
                  <pic:nvPicPr>
                    <pic:cNvPr id="0" name="指数_图5_收入规模与指数得分.png"/>
                    <pic:cNvPicPr/>
                  </pic:nvPicPr>
                  <pic:blipFill>
                    <a:blip r:embed="rId20"/>
                    <a:stretch>
                      <a:fillRect/>
                    </a:stretch>
                  </pic:blipFill>
                  <pic:spPr>
                    <a:xfrm>
                      <a:off x="0" y="0"/>
                      <a:ext cx="5868000" cy="3989825"/>
                    </a:xfrm>
                    <a:prstGeom prst="rect"/>
                  </pic:spPr>
                </pic:pic>
              </a:graphicData>
            </a:graphic>
          </wp:inline>
        </w:drawing>
      </w:r>
    </w:p>
    <w:p>
      <w:pPr>
        <w:spacing w:after="160"/>
        <w:jc w:val="center"/>
      </w:pPr>
      <w:r>
        <w:rPr>
          <w:rFonts w:ascii="宋体" w:hAnsi="宋体" w:eastAsia="宋体"/>
          <w:i/>
          <w:color w:val="5A646E"/>
          <w:sz w:val="17"/>
        </w:rPr>
        <w:t>图10：2025年营业收入与医疗AI转型竞争力得分。横轴为营业收入对数刻度（亿元）；指数中规模与再投入能力仅占5分。</w:t>
      </w:r>
    </w:p>
    <w:p>
      <w:pPr>
        <w:spacing w:after="100"/>
        <w:ind w:firstLine="420"/>
      </w:pPr>
      <w:r>
        <w:rPr>
          <w:rFonts w:ascii="宋体" w:hAnsi="宋体" w:eastAsia="宋体"/>
          <w:sz w:val="21"/>
        </w:rPr>
        <w:t>在本期样本中，迈瑞医疗、联影医疗和科大讯飞的业务规模为研发、产品迭代和服务投入提供了不同程度的支持；鹰瞳科技则以可识别的AI产品收入和第三类注册信息体现专用软件路径。康众医疗与奕瑞科技的既有业务仍以影像采集和核心部件为基础，相关收入不能直接改写为AI收入，后续应以智能影像产品的销售、客户使用和并表后的经营贡献判断其转型进展。</w:t>
      </w:r>
    </w:p>
    <w:p>
      <w:pPr>
        <w:spacing w:after="100"/>
        <w:ind w:firstLine="420"/>
      </w:pPr>
      <w:r>
        <w:rPr>
          <w:rFonts w:ascii="宋体" w:hAnsi="宋体" w:eastAsia="宋体"/>
          <w:sz w:val="21"/>
        </w:rPr>
        <w:t>本期前五名仅适用于上述七家公司、资料截止日和评分规则。后续位次将根据AI医疗器械注册、医院工作流使用、软件和服务收入、并购后的经营贡献、海外产品交付及资本结构变化更新。</w:t>
      </w:r>
    </w:p>
    <w:p>
      <w:pPr>
        <w:pStyle w:val="Heading2"/>
        <w:pageBreakBefore w:val="0"/>
      </w:pPr>
      <w:r>
        <w:rPr>
          <w:rFonts w:ascii="Microsoft YaHei" w:hAnsi="Microsoft YaHei" w:eastAsia="Microsoft YaHei"/>
          <w:b/>
          <w:color w:val="1F4E78"/>
          <w:sz w:val="28"/>
        </w:rPr>
        <w:t>结论</w:t>
      </w:r>
    </w:p>
    <w:p>
      <w:pPr>
        <w:spacing w:after="100"/>
        <w:ind w:firstLine="420"/>
      </w:pPr>
      <w:r>
        <w:rPr>
          <w:rFonts w:ascii="宋体" w:hAnsi="宋体" w:eastAsia="宋体"/>
          <w:sz w:val="21"/>
        </w:rPr>
        <w:t>医疗AI上市公司的比较应以产品类型、医院应用和收入识别为基础。算法软件的相关收入通常可在财务披露中识别；设备和部件企业的智能化价值则更多体现在产品功能、客户使用、配置升级和服务收入。对于通过并购新增产品入口的企业，合并报表后的销售、毛利和现金流变化反映新业务在上市公司经营中的实际位置。</w:t>
      </w:r>
    </w:p>
    <w:p>
      <w:pPr>
        <w:pStyle w:val="Heading2"/>
        <w:pageBreakBefore w:val="0"/>
      </w:pPr>
      <w:r>
        <w:rPr>
          <w:rFonts w:ascii="Microsoft YaHei" w:hAnsi="Microsoft YaHei" w:eastAsia="Microsoft YaHei"/>
          <w:b/>
          <w:color w:val="1F4E78"/>
          <w:sz w:val="28"/>
        </w:rPr>
        <w:t>资料来源</w:t>
      </w:r>
    </w:p>
    <w:p>
      <w:pPr>
        <w:spacing w:after="100"/>
        <w:ind w:firstLine="420"/>
      </w:pPr>
      <w:r>
        <w:rPr>
          <w:rFonts w:ascii="宋体" w:hAnsi="宋体" w:eastAsia="宋体"/>
          <w:sz w:val="21"/>
        </w:rPr>
        <w:t>[1] 国家卫生健康委等：《卫生健康行业人工智能应用场景参考指引》，2024年11月。&lt;https://www.nhc.gov.cn/guihuaxxs/c100133/202411/3dee425b8dc34f739d63483c4e5c334c/files/1733227133524_47343.pdf&gt;</w:t>
      </w:r>
    </w:p>
    <w:p>
      <w:pPr>
        <w:spacing w:after="100"/>
        <w:ind w:firstLine="420"/>
      </w:pPr>
      <w:r>
        <w:rPr>
          <w:rFonts w:ascii="宋体" w:hAnsi="宋体" w:eastAsia="宋体"/>
          <w:sz w:val="21"/>
        </w:rPr>
        <w:t>[2] 国家卫生健康委等：《关于促进和规范“人工智能+医疗卫生”应用发展的实施意见》，2025年11月4日。&lt;https://www.nhc.gov.cn/guihuaxxs/c100133/202511/d1a42ae835c743b9b3e83ac0253c3e9f.shtml&gt;</w:t>
      </w:r>
    </w:p>
    <w:p>
      <w:pPr>
        <w:spacing w:after="100"/>
        <w:ind w:firstLine="420"/>
      </w:pPr>
      <w:r>
        <w:rPr>
          <w:rFonts w:ascii="宋体" w:hAnsi="宋体" w:eastAsia="宋体"/>
          <w:sz w:val="21"/>
        </w:rPr>
        <w:t>[3] 国家药品监督管理局医疗器械技术审评中心：《人工智能医疗器械注册审查指导原则》，2022年。&lt;https://www.cncsdr.org/ggtz/ggzz/202203/t20220311_304188.html&gt;</w:t>
      </w:r>
    </w:p>
    <w:p>
      <w:pPr>
        <w:spacing w:after="100"/>
        <w:ind w:firstLine="420"/>
      </w:pPr>
      <w:r>
        <w:rPr>
          <w:rFonts w:ascii="宋体" w:hAnsi="宋体" w:eastAsia="宋体"/>
          <w:sz w:val="21"/>
        </w:rPr>
        <w:t>[4] 国家药品监督管理局医疗器械技术审评中心：《医疗器械软件注册审查指导原则（2022年修订版）》，2022年。&lt;https://www.ccfdie.org/zryyxxw/zxdt/webinfo/2022/03/1648289422552123.htm&gt;</w:t>
      </w:r>
    </w:p>
    <w:p>
      <w:pPr>
        <w:spacing w:after="100"/>
        <w:ind w:firstLine="420"/>
      </w:pPr>
      <w:r>
        <w:rPr>
          <w:rFonts w:ascii="宋体" w:hAnsi="宋体" w:eastAsia="宋体"/>
          <w:sz w:val="21"/>
        </w:rPr>
        <w:t>[5] 国家药品监督管理局医疗器械技术审评中心：《医疗器械网络安全注册审查指导原则（2022年修订版）》，2022年。&lt;https://www.cncsdr.org/ggtz/ggzz/202203/t20220311_304187.html&gt;</w:t>
      </w:r>
    </w:p>
    <w:p>
      <w:pPr>
        <w:spacing w:after="100"/>
        <w:ind w:firstLine="420"/>
      </w:pPr>
      <w:r>
        <w:rPr>
          <w:rFonts w:ascii="宋体" w:hAnsi="宋体" w:eastAsia="宋体"/>
          <w:sz w:val="21"/>
        </w:rPr>
        <w:t>[6] IMDRF. *Software as a Medical Device (SaMD): Clinical Evaluation*. 2017. &lt;https://www.imdrf.org/documents/software-medical-device-samd-clinical-evaluation&gt;</w:t>
      </w:r>
    </w:p>
    <w:p>
      <w:pPr>
        <w:spacing w:after="100"/>
        <w:ind w:firstLine="420"/>
      </w:pPr>
      <w:r>
        <w:rPr>
          <w:rFonts w:ascii="宋体" w:hAnsi="宋体" w:eastAsia="宋体"/>
          <w:sz w:val="21"/>
        </w:rPr>
        <w:t>[7] RAJPURKAR P, CHEN E, BANERJEE O, et al. AI in health and medicine. *Nature Medicine*, 2022, 28:31-38. &lt;https://doi.org/10.1038/s41591-021-01614-0&gt;</w:t>
      </w:r>
    </w:p>
    <w:p>
      <w:pPr>
        <w:spacing w:after="100"/>
        <w:ind w:firstLine="420"/>
      </w:pPr>
      <w:r>
        <w:rPr>
          <w:rFonts w:ascii="宋体" w:hAnsi="宋体" w:eastAsia="宋体"/>
          <w:sz w:val="21"/>
        </w:rPr>
        <w:t>[8] VASEY B, NAGENDRAN M, CAMPBELL B, et al. DECIDE-AI. *Nature Medicine*, 2022, 28:924-933. &lt;https://doi.org/10.1038/s41591-022-01772-9&gt;</w:t>
      </w:r>
    </w:p>
    <w:p>
      <w:pPr>
        <w:spacing w:after="100"/>
        <w:ind w:firstLine="420"/>
      </w:pPr>
      <w:r>
        <w:rPr>
          <w:rFonts w:ascii="宋体" w:hAnsi="宋体" w:eastAsia="宋体"/>
          <w:sz w:val="21"/>
        </w:rPr>
        <w:t>[9] KELLY C J, KARTHIKESALINGAM A, SULEYMAN M, et al. Key challenges for delivering clinical impact with artificial intelligence. *BMC Medicine*, 2019, 17:195. &lt;https://doi.org/10.1186/s12916-019-1426-2&gt;</w:t>
      </w:r>
    </w:p>
    <w:p>
      <w:pPr>
        <w:spacing w:after="100"/>
        <w:ind w:firstLine="420"/>
      </w:pPr>
      <w:r>
        <w:rPr>
          <w:rFonts w:ascii="宋体" w:hAnsi="宋体" w:eastAsia="宋体"/>
          <w:sz w:val="21"/>
        </w:rPr>
        <w:t>[10] 北京鹰瞳科技发展股份有限公司：《2025年度报告》，2026年4月29日。&lt;https://www1.hkexnews.hk/listedco/listconews/sehk/2026/0429/2026042904252.pdf&gt;</w:t>
      </w:r>
    </w:p>
    <w:p>
      <w:pPr>
        <w:spacing w:after="100"/>
        <w:ind w:firstLine="420"/>
      </w:pPr>
      <w:r>
        <w:rPr>
          <w:rFonts w:ascii="宋体" w:hAnsi="宋体" w:eastAsia="宋体"/>
          <w:sz w:val="21"/>
        </w:rPr>
        <w:t>[11] 科大讯飞股份有限公司：《2025年年度报告》，2026年4月29日。&lt;https://static.cninfo.com.cn/finalpage/2026-04-29/1225233581.PDF&gt;</w:t>
      </w:r>
    </w:p>
    <w:p>
      <w:pPr>
        <w:spacing w:after="100"/>
        <w:ind w:firstLine="420"/>
      </w:pPr>
      <w:r>
        <w:rPr>
          <w:rFonts w:ascii="宋体" w:hAnsi="宋体" w:eastAsia="宋体"/>
          <w:sz w:val="21"/>
        </w:rPr>
        <w:t>[12] 卫宁健康科技集团股份有限公司：《2025年年度报告》，2026年4月15日。&lt;https://static.cninfo.com.cn/finalpage/2026-04-15/1225102782.PDF&gt;</w:t>
      </w:r>
    </w:p>
    <w:p>
      <w:pPr>
        <w:spacing w:after="100"/>
        <w:ind w:firstLine="420"/>
      </w:pPr>
      <w:r>
        <w:rPr>
          <w:rFonts w:ascii="宋体" w:hAnsi="宋体" w:eastAsia="宋体"/>
          <w:sz w:val="21"/>
        </w:rPr>
        <w:t>[13] 上海联影医疗科技股份有限公司：《2025年年度报告》，2026年4月29日。&lt;https://static.sse.com.cn/disclosure/listedinfo/announcement/c/new/2026-04-29/688271_20260429_NTY7.pdf&gt;</w:t>
      </w:r>
    </w:p>
    <w:p>
      <w:pPr>
        <w:spacing w:after="100"/>
        <w:ind w:firstLine="420"/>
      </w:pPr>
      <w:r>
        <w:rPr>
          <w:rFonts w:ascii="宋体" w:hAnsi="宋体" w:eastAsia="宋体"/>
          <w:sz w:val="21"/>
        </w:rPr>
        <w:t>[14] 深圳迈瑞生物医疗电子股份有限公司：《2025年年度报告》，2026年3月31日。&lt;https://static.cninfo.com.cn/finalpage/2026-03-31/1225059012.PDF&gt;</w:t>
      </w:r>
    </w:p>
    <w:p>
      <w:pPr>
        <w:spacing w:after="100"/>
        <w:ind w:firstLine="420"/>
      </w:pPr>
      <w:r>
        <w:rPr>
          <w:rFonts w:ascii="宋体" w:hAnsi="宋体" w:eastAsia="宋体"/>
          <w:sz w:val="21"/>
        </w:rPr>
        <w:t>[15] 奕瑞电子科技集团股份有限公司：《2025年年度报告》，2026年3月31日。&lt;https://static.sse.com.cn/disclosure/listedinfo/announcement/c/new/2026-03-31/688301_20260331_E6VS.pdf&gt;</w:t>
      </w:r>
    </w:p>
    <w:p>
      <w:pPr>
        <w:spacing w:after="100"/>
        <w:ind w:firstLine="420"/>
      </w:pPr>
      <w:r>
        <w:rPr>
          <w:rFonts w:ascii="宋体" w:hAnsi="宋体" w:eastAsia="宋体"/>
          <w:sz w:val="21"/>
        </w:rPr>
        <w:t>[16] 江苏康众数字医疗科技股份有限公司：《2025年年度报告》，2026年4月25日。&lt;https://static.sse.com.cn/disclosure/listedinfo/announcement/c/new/2026-04-25/688607_20260425_IZ31.pdf&gt;</w:t>
      </w:r>
    </w:p>
    <w:p>
      <w:pPr>
        <w:spacing w:after="100"/>
        <w:ind w:firstLine="420"/>
      </w:pPr>
      <w:r>
        <w:rPr>
          <w:rFonts w:ascii="宋体" w:hAnsi="宋体" w:eastAsia="宋体"/>
          <w:sz w:val="21"/>
        </w:rPr>
        <w:t>[17] 江苏康众数字医疗科技股份有限公司：《2026年半年度报告》，2026年8月28日。&lt;https://static.sse.com.cn/disclosure/listedinfo/announcement/c/new/2026-08-28/688607_20260828_8GOE.pdf&gt;</w:t>
      </w:r>
    </w:p>
    <w:p>
      <w:pPr>
        <w:spacing w:after="100"/>
        <w:ind w:firstLine="420"/>
      </w:pPr>
      <w:r>
        <w:rPr>
          <w:rFonts w:ascii="宋体" w:hAnsi="宋体" w:eastAsia="宋体"/>
          <w:sz w:val="21"/>
        </w:rPr>
        <w:t>[18] 中国政府采购网：《四川大学华西医院甲状腺结节超声影像辅助诊断软件采购项目中标公告》，2026年7月6日。&lt;https://www.ccgp.gov.cn/cggg/zygg/zbgg/202607/t20260706_26880314.htm&gt;</w:t>
      </w:r>
    </w:p>
    <w:p>
      <w:pPr>
        <w:spacing w:after="100"/>
        <w:ind w:firstLine="420"/>
      </w:pPr>
      <w:r>
        <w:rPr>
          <w:rFonts w:ascii="宋体" w:hAnsi="宋体" w:eastAsia="宋体"/>
          <w:sz w:val="21"/>
        </w:rPr>
        <w:t>[19] IHE Radiology Technical Committee. *AI Workflow for Imaging (AIW-I), Revision 1.1*. 2020. &lt;https://www.ihe.net/uploadedFiles/Documents/Radiology/IHE_RAD_Suppl_AIW-I.pdf&gt;</w:t>
      </w:r>
    </w:p>
    <w:p>
      <w:pPr>
        <w:spacing w:after="100"/>
        <w:ind w:firstLine="420"/>
      </w:pPr>
      <w:r>
        <w:rPr>
          <w:rFonts w:ascii="宋体" w:hAnsi="宋体" w:eastAsia="宋体"/>
          <w:sz w:val="21"/>
        </w:rPr>
        <w:t>[20] 国家卫生健康委等：《关于印发紧密型县域医共体信息化功能指引的通知》政策解读，2025年3月12日。&lt;https://www.nhc.gov.cn/guihuaxxs/c100133/202503/a44fd482a5f140d19b9e595e2fc583f0.shtml&gt;</w:t>
      </w:r>
    </w:p>
    <w:p>
      <w:pPr>
        <w:spacing w:after="100"/>
        <w:ind w:firstLine="420"/>
      </w:pPr>
      <w:r>
        <w:rPr>
          <w:rFonts w:ascii="宋体" w:hAnsi="宋体" w:eastAsia="宋体"/>
          <w:sz w:val="21"/>
        </w:rPr>
        <w:t>[21] 国家卫生健康委等：《关于全面推进紧密型县域医疗卫生共同体建设的指导意见》政策解读，2023年12月30日。&lt;https://www.nhc.gov.cn/jws/c100073/202312/9be3aba3952f4c1cab897dd269ed509e.shtml&gt;</w:t>
      </w:r>
    </w:p>
    <w:p>
      <w:pPr>
        <w:spacing w:after="100"/>
        <w:ind w:firstLine="420"/>
      </w:pPr>
      <w:r>
        <w:rPr>
          <w:rFonts w:ascii="宋体" w:hAnsi="宋体" w:eastAsia="宋体"/>
          <w:sz w:val="21"/>
        </w:rPr>
        <w:t>[22] 国家卫生健康委：《紧密型县域医共体医学影像中心设置标准》，WS/T 891—2026，2026年3月31日。&lt;https://www.nhc.gov.cn/wjw/c100309/202603/c201f9460a7a446dadf2896663d93724.shtml&gt;</w:t>
      </w:r>
    </w:p>
    <w:p>
      <w:pPr>
        <w:spacing w:after="100"/>
        <w:ind w:firstLine="420"/>
      </w:pPr>
      <w:r>
        <w:rPr>
          <w:rFonts w:ascii="宋体" w:hAnsi="宋体" w:eastAsia="宋体"/>
          <w:sz w:val="21"/>
        </w:rPr>
        <w:t>[23] 国家卫生健康委：《2024年我国卫生健康事业发展统计公报》，2025年12月2日。&lt;https://www.nhc.gov.cn/guihuaxxs/c100133/202512/f1c3a3c617484a27a1a26a468afbaeee.shtml&gt;</w:t>
      </w:r>
    </w:p>
    <w:p>
      <w:pPr>
        <w:spacing w:after="100"/>
        <w:ind w:firstLine="420"/>
      </w:pPr>
      <w:r>
        <w:rPr>
          <w:rFonts w:ascii="宋体" w:hAnsi="宋体" w:eastAsia="宋体"/>
          <w:sz w:val="21"/>
        </w:rPr>
        <w:t>[24] 连江县人民政府：《连江县总医院县域医共体资源共享中心能力提升项目初步设计及概算的批复》，2026年2月28日。&lt;https://www.fzlj.gov.cn/xjwz/zwgk/zfxxgkzl/xrmzfgzbm_11124/ljxfzhggj/gkml/xmspdxzxkdsxyjtjslcxqxyjsqxzxkxytjqbcljblqk_11413/202602/t20260228_5289623.htm&gt;</w:t>
      </w:r>
    </w:p>
    <w:p>
      <w:pPr>
        <w:spacing w:after="100"/>
        <w:ind w:firstLine="420"/>
      </w:pPr>
      <w:r>
        <w:rPr>
          <w:rFonts w:ascii="宋体" w:hAnsi="宋体" w:eastAsia="宋体"/>
          <w:sz w:val="21"/>
        </w:rPr>
        <w:t>[25] 国务院：《医疗卫生强基工程实施方案》，国函〔2025〕85号，2025年9月7日。&lt;https://www.nhc.gov.cn/wjw/xwdt/202509/e3a802cef89f470ead8b9557c2ac65ce.shtml&gt;</w:t>
      </w:r>
    </w:p>
    <w:p>
      <w:pPr>
        <w:spacing w:after="100"/>
        <w:ind w:firstLine="420"/>
      </w:pPr>
      <w:r>
        <w:rPr>
          <w:rFonts w:ascii="宋体" w:hAnsi="宋体" w:eastAsia="宋体"/>
          <w:sz w:val="21"/>
        </w:rPr>
        <w:t>[26] 北京万东医疗科技股份有限公司：《2025年年度报告》，2026年3月；公司定期报告页面。&lt;https://www.wandong.com.cn/list-70-1.html&gt;</w:t>
      </w:r>
    </w:p>
    <w:p>
      <w:pPr>
        <w:spacing w:after="100"/>
        <w:ind w:firstLine="420"/>
      </w:pPr>
      <w:r>
        <w:rPr>
          <w:rFonts w:ascii="宋体" w:hAnsi="宋体" w:eastAsia="宋体"/>
          <w:sz w:val="21"/>
        </w:rPr>
        <w:t>[27] OECD. *The OECD.AI Index*. 2026. &lt;https://www.oecd.org/en/publications/2026/02/oecd-ai-observatory-index_8f5fa0f2.html&gt;</w:t>
      </w:r>
    </w:p>
    <w:p>
      <w:pPr>
        <w:spacing w:after="100"/>
        <w:ind w:firstLine="420"/>
      </w:pPr>
      <w:r>
        <w:rPr>
          <w:rFonts w:ascii="宋体" w:hAnsi="宋体" w:eastAsia="宋体"/>
          <w:sz w:val="21"/>
        </w:rPr>
        <w:t>[28] OECD. *Introducing the OECD AI Capability Indicators*. 2025. &lt;https://www.oecd.org/en/publications/2025/06/introducing-the-oecd-ai-capability-indicators_7c0731f0/full-report/component-3.html&gt;</w:t>
      </w:r>
    </w:p>
    <w:p>
      <w:pPr>
        <w:spacing w:after="100"/>
        <w:ind w:firstLine="420"/>
      </w:pPr>
      <w:r>
        <w:rPr>
          <w:rFonts w:ascii="宋体" w:hAnsi="宋体" w:eastAsia="宋体"/>
          <w:sz w:val="21"/>
        </w:rPr>
        <w:t>[29] World Health Organization Regional Office for Europe. *Artificial intelligence is reshaping health systems: state of readiness across the European Union*. 2026. &lt;https://www.who.int/france/publications/i/item/WHO-EURO-2026-12707-52481-81471&gt;</w:t>
      </w:r>
    </w:p>
    <w:sectPr w:rsidR="00FC693F" w:rsidRPr="0006063C" w:rsidSect="00034616">
      <w:headerReference w:type="default" r:id="rId9"/>
      <w:footerReference w:type="default" r:id="rId10"/>
      <w:pgSz w:w="12240" w:h="15840"/>
      <w:pgMar w:top="1134" w:right="1020" w:bottom="1077" w:left="102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icrosoft YaHei" w:hAnsi="Microsoft YaHei" w:eastAsia="Microsoft YaHei"/>
        <w:color w:val="646E78"/>
        <w:sz w:val="16"/>
      </w:rPr>
      <w:t xml:space="preserve">第 </w:t>
    </w:r>
    <w:fldSimple w:instr="PAGE"/>
    <w:r>
      <w:rPr>
        <w:rFonts w:ascii="Microsoft YaHei" w:hAnsi="Microsoft YaHei" w:eastAsia="Microsoft YaHei"/>
        <w:color w:val="646E78"/>
        <w:sz w:val="16"/>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Microsoft YaHei" w:hAnsi="Microsoft YaHei" w:eastAsia="Microsoft YaHei"/>
        <w:color w:val="646E78"/>
        <w:sz w:val="17"/>
      </w:rPr>
      <w:t>中国医疗AI上市公司研究报告（2026）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20"/>
    </w:pPr>
    <w:rPr>
      <w:rFonts w:ascii="宋体" w:hAnsi="宋体" w:eastAsia="宋体"/>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Microsoft YaHei" w:hAnsi="Microsoft YaHei" w:eastAsia="Microsoft YaHei"/>
      <w:b/>
      <w:bCs/>
      <w:color w:val="193A5A"/>
      <w:sz w:val="40"/>
      <w:szCs w:val="28"/>
    </w:rPr>
  </w:style>
  <w:style w:type="paragraph" w:styleId="Heading2">
    <w:name w:val="heading 2"/>
    <w:basedOn w:val="Normal"/>
    <w:next w:val="Normal"/>
    <w:link w:val="Heading2Char"/>
    <w:uiPriority w:val="9"/>
    <w:unhideWhenUsed/>
    <w:qFormat/>
    <w:rsid w:val="00FC693F"/>
    <w:pPr>
      <w:keepNext/>
      <w:keepLines/>
      <w:spacing w:before="360" w:after="160"/>
      <w:outlineLvl w:val="1"/>
    </w:pPr>
    <w:rPr>
      <w:rFonts w:asciiTheme="majorHAnsi" w:eastAsiaTheme="majorEastAsia" w:hAnsiTheme="majorHAnsi" w:cstheme="majorBidi" w:ascii="Microsoft YaHei" w:hAnsi="Microsoft YaHei" w:eastAsia="Microsoft YaHei"/>
      <w:b/>
      <w:bCs/>
      <w:color w:val="1F4E78"/>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